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宋体" w:hAnsi="宋体" w:eastAsia="宋体" w:cs="宋体"/>
          <w:b/>
          <w:bCs/>
          <w:color w:val="000000"/>
          <w:kern w:val="0"/>
          <w:sz w:val="32"/>
          <w:szCs w:val="32"/>
          <w:lang w:val="en-US" w:eastAsia="zh-CN" w:bidi="ar"/>
        </w:rPr>
      </w:pPr>
      <w:r>
        <w:rPr>
          <w:rFonts w:hint="eastAsia" w:ascii="宋体" w:hAnsi="宋体" w:eastAsia="宋体" w:cs="宋体"/>
          <w:b/>
          <w:bCs/>
          <w:color w:val="000000"/>
          <w:kern w:val="0"/>
          <w:sz w:val="32"/>
          <w:szCs w:val="32"/>
          <w:lang w:val="en-US" w:eastAsia="zh-CN" w:bidi="ar"/>
        </w:rPr>
        <w:t>超市机器人挑战赛·规则文档</w:t>
      </w:r>
    </w:p>
    <w:p>
      <w:pPr>
        <w:keepNext w:val="0"/>
        <w:keepLines w:val="0"/>
        <w:widowControl/>
        <w:suppressLineNumbers w:val="0"/>
        <w:jc w:val="left"/>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eastAsia="zh-CN" w:bidi="ar"/>
        </w:rPr>
        <w:t>1.</w:t>
      </w:r>
      <w:r>
        <w:rPr>
          <w:rFonts w:hint="eastAsia" w:ascii="宋体" w:hAnsi="宋体" w:eastAsia="宋体" w:cs="宋体"/>
          <w:b/>
          <w:bCs/>
          <w:color w:val="000000"/>
          <w:kern w:val="0"/>
          <w:sz w:val="21"/>
          <w:szCs w:val="21"/>
          <w:lang w:val="en-US" w:eastAsia="zh-CN" w:bidi="ar"/>
        </w:rPr>
        <w:t>比赛任务简介</w:t>
      </w:r>
    </w:p>
    <w:p>
      <w:pPr>
        <w:keepNext w:val="0"/>
        <w:keepLines w:val="0"/>
        <w:widowControl/>
        <w:suppressLineNumbers w:val="0"/>
        <w:ind w:firstLine="420" w:firstLineChars="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比赛场地模拟了一个超市，A、B、C、D 四个货架上各有 12 个货窗，E 区为仓库区，具有四个可放货物的槽。参赛队需要设计并制作一台自主机器人参加比赛。机器人从场地的红色“起点区”出发，在 10 分钟的比赛时间内，在场上找到“购物清单”中要求的目标货物，送回起点区。</w:t>
      </w:r>
    </w:p>
    <w:p>
      <w:pPr>
        <w:keepNext w:val="0"/>
        <w:keepLines w:val="0"/>
        <w:widowControl/>
        <w:suppressLineNumbers w:val="0"/>
        <w:jc w:val="left"/>
        <w:rPr>
          <w:rFonts w:hint="eastAsia" w:ascii="宋体" w:hAnsi="宋体" w:eastAsia="宋体" w:cs="宋体"/>
          <w:b/>
          <w:bCs/>
        </w:rPr>
      </w:pPr>
      <w:r>
        <w:rPr>
          <w:rFonts w:hint="eastAsia" w:ascii="宋体" w:hAnsi="宋体" w:eastAsia="宋体" w:cs="宋体"/>
          <w:b/>
          <w:bCs/>
          <w:color w:val="000000"/>
          <w:kern w:val="0"/>
          <w:sz w:val="21"/>
          <w:szCs w:val="21"/>
          <w:lang w:eastAsia="zh-CN" w:bidi="ar"/>
        </w:rPr>
        <w:t>2.</w:t>
      </w:r>
      <w:r>
        <w:rPr>
          <w:rFonts w:hint="eastAsia" w:ascii="宋体" w:hAnsi="宋体" w:eastAsia="宋体" w:cs="宋体"/>
          <w:b/>
          <w:bCs/>
          <w:color w:val="000000"/>
          <w:kern w:val="0"/>
          <w:sz w:val="21"/>
          <w:szCs w:val="21"/>
          <w:lang w:val="en-US" w:eastAsia="zh-CN" w:bidi="ar"/>
        </w:rPr>
        <w:t>比赛场地</w:t>
      </w:r>
    </w:p>
    <w:p>
      <w:pPr>
        <w:keepNext w:val="0"/>
        <w:keepLines w:val="0"/>
        <w:widowControl/>
        <w:suppressLineNumbers w:val="0"/>
        <w:jc w:val="center"/>
        <w:rPr>
          <w:rFonts w:hint="eastAsia" w:ascii="宋体" w:hAnsi="宋体" w:eastAsia="宋体" w:cs="宋体"/>
        </w:rPr>
      </w:pPr>
      <w:r>
        <w:rPr>
          <w:rFonts w:hint="eastAsia" w:ascii="宋体" w:hAnsi="宋体" w:eastAsia="宋体" w:cs="宋体"/>
        </w:rPr>
        <w:drawing>
          <wp:inline distT="0" distB="0" distL="114300" distR="114300">
            <wp:extent cx="3574415" cy="2350770"/>
            <wp:effectExtent l="0" t="0" r="6985"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574415" cy="2350770"/>
                    </a:xfrm>
                    <a:prstGeom prst="rect">
                      <a:avLst/>
                    </a:prstGeom>
                    <a:noFill/>
                    <a:ln>
                      <a:noFill/>
                    </a:ln>
                  </pic:spPr>
                </pic:pic>
              </a:graphicData>
            </a:graphic>
          </wp:inline>
        </w:drawing>
      </w:r>
    </w:p>
    <w:p>
      <w:pPr>
        <w:keepNext w:val="0"/>
        <w:keepLines w:val="0"/>
        <w:widowControl/>
        <w:suppressLineNumbers w:val="0"/>
        <w:jc w:val="center"/>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超市机器人挑战赛比赛场地示意图</w:t>
      </w:r>
    </w:p>
    <w:p>
      <w:pPr>
        <w:keepNext w:val="0"/>
        <w:keepLines w:val="0"/>
        <w:widowControl/>
        <w:suppressLineNumbers w:val="0"/>
        <w:jc w:val="center"/>
        <w:rPr>
          <w:rFonts w:hint="eastAsia" w:ascii="宋体" w:hAnsi="宋体" w:eastAsia="宋体" w:cs="宋体"/>
          <w:b/>
          <w:bCs/>
          <w:color w:val="000000"/>
          <w:kern w:val="0"/>
          <w:sz w:val="21"/>
          <w:szCs w:val="21"/>
          <w:lang w:val="en-US" w:eastAsia="zh-CN" w:bidi="ar"/>
        </w:rPr>
      </w:pPr>
      <w:r>
        <w:rPr>
          <w:rFonts w:hint="eastAsia" w:ascii="宋体" w:hAnsi="宋体" w:eastAsia="宋体" w:cs="宋体"/>
          <w:color w:val="000000"/>
          <w:kern w:val="0"/>
          <w:sz w:val="18"/>
          <w:szCs w:val="18"/>
          <w:lang w:val="en-US" w:eastAsia="zh-CN" w:bidi="ar"/>
        </w:rPr>
        <w:t>图中的字母和数字在实际场地中不存在，仅为方便描述。购物车区的蓝色标注在实际场地中</w:t>
      </w:r>
      <w:r>
        <w:rPr>
          <w:rFonts w:hint="eastAsia" w:ascii="宋体" w:hAnsi="宋体" w:eastAsia="宋体" w:cs="宋体"/>
          <w:color w:val="000000"/>
          <w:kern w:val="0"/>
          <w:sz w:val="21"/>
          <w:szCs w:val="21"/>
          <w:lang w:val="en-US" w:eastAsia="zh-CN" w:bidi="ar"/>
        </w:rPr>
        <w:t>不存在。</w:t>
      </w:r>
    </w:p>
    <w:p>
      <w:pPr>
        <w:keepNext w:val="0"/>
        <w:keepLines w:val="0"/>
        <w:widowControl/>
        <w:suppressLineNumbers w:val="0"/>
        <w:jc w:val="center"/>
        <w:rPr>
          <w:rFonts w:hint="eastAsia" w:ascii="宋体" w:hAnsi="宋体" w:eastAsia="宋体" w:cs="宋体"/>
        </w:rPr>
      </w:pPr>
      <w:r>
        <w:rPr>
          <w:rFonts w:hint="eastAsia" w:ascii="宋体" w:hAnsi="宋体" w:eastAsia="宋体" w:cs="宋体"/>
        </w:rPr>
        <w:drawing>
          <wp:inline distT="0" distB="0" distL="114300" distR="114300">
            <wp:extent cx="1780540" cy="1399540"/>
            <wp:effectExtent l="0" t="0" r="10160" b="1016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1780540" cy="1399540"/>
                    </a:xfrm>
                    <a:prstGeom prst="rect">
                      <a:avLst/>
                    </a:prstGeom>
                    <a:noFill/>
                    <a:ln>
                      <a:noFill/>
                    </a:ln>
                  </pic:spPr>
                </pic:pic>
              </a:graphicData>
            </a:graphic>
          </wp:inline>
        </w:drawing>
      </w:r>
    </w:p>
    <w:p>
      <w:pPr>
        <w:keepNext w:val="0"/>
        <w:keepLines w:val="0"/>
        <w:widowControl/>
        <w:suppressLineNumbers w:val="0"/>
        <w:jc w:val="center"/>
        <w:rPr>
          <w:rFonts w:hint="eastAsia" w:ascii="宋体" w:hAnsi="宋体" w:eastAsia="宋体" w:cs="宋体"/>
          <w:sz w:val="21"/>
          <w:szCs w:val="21"/>
        </w:rPr>
      </w:pPr>
      <w:r>
        <w:rPr>
          <w:rFonts w:hint="eastAsia" w:ascii="宋体" w:hAnsi="宋体" w:eastAsia="宋体" w:cs="宋体"/>
          <w:b/>
          <w:bCs/>
          <w:color w:val="000000"/>
          <w:kern w:val="0"/>
          <w:sz w:val="21"/>
          <w:szCs w:val="21"/>
          <w:lang w:val="en-US" w:eastAsia="zh-CN" w:bidi="ar"/>
        </w:rPr>
        <w:t>货架上的货物摆放细节示意图</w:t>
      </w:r>
    </w:p>
    <w:p>
      <w:pPr>
        <w:keepNext w:val="0"/>
        <w:keepLines w:val="0"/>
        <w:widowControl/>
        <w:suppressLineNumbers w:val="0"/>
        <w:jc w:val="center"/>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货窗中物体一定如上图所示分开摆放且主要标识朝外，仓库区的槽中物体不一定分开摆放</w:t>
      </w:r>
    </w:p>
    <w:p>
      <w:pPr>
        <w:keepNext w:val="0"/>
        <w:keepLines w:val="0"/>
        <w:widowControl/>
        <w:suppressLineNumbers w:val="0"/>
        <w:ind w:firstLine="420" w:firstLineChars="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比赛场地是由 A、B、C、D 四个超市货架区和中心 E 仓库区构成的方形结构。场地大小约为 4400×4400（单位：mm，下同），材料为木质。场地在没有货架的边缘部分设有高 100、厚 15 的围栏。场地的“起点区”张贴 400×400 的深红色哑光贴纸。</w:t>
      </w:r>
      <w:r>
        <w:rPr>
          <w:rFonts w:hint="eastAsia" w:ascii="宋体" w:hAnsi="宋体" w:eastAsia="宋体" w:cs="宋体"/>
          <w:b/>
          <w:bCs/>
          <w:color w:val="000000"/>
          <w:kern w:val="0"/>
          <w:sz w:val="18"/>
          <w:szCs w:val="18"/>
          <w:lang w:val="en-US" w:eastAsia="zh-CN" w:bidi="ar"/>
        </w:rPr>
        <w:t>场地的“购物车区”无颜色标注且涂有黑底白线。</w:t>
      </w:r>
      <w:r>
        <w:rPr>
          <w:rFonts w:hint="eastAsia" w:ascii="宋体" w:hAnsi="宋体" w:eastAsia="宋体" w:cs="宋体"/>
          <w:color w:val="000000"/>
          <w:kern w:val="0"/>
          <w:sz w:val="18"/>
          <w:szCs w:val="18"/>
          <w:lang w:val="en-US" w:eastAsia="zh-CN" w:bidi="ar"/>
        </w:rPr>
        <w:t>围栏、货架边框和仓库区的表面均被喷涂成白色。场地的地面喷涂了黑色哑光漆，并用宽 30 的白线划分成若干边长 400 的正方形区域（以白线的中心线为测量标准）。</w:t>
      </w:r>
    </w:p>
    <w:p>
      <w:pPr>
        <w:keepNext w:val="0"/>
        <w:keepLines w:val="0"/>
        <w:widowControl/>
        <w:suppressLineNumbers w:val="0"/>
        <w:ind w:firstLine="420" w:firstLineChars="0"/>
        <w:jc w:val="left"/>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 xml:space="preserve">每个货架分两层，含 12 个独立的货窗，每个货窗中最多摆放 3 件相同种类的货物。非空货窗可能有 2 号货物，一定有 1 号货物或/和 3 号货物（这里的货物号请参见“货架上的货物摆放细节示意图”）。所有货物最外边沿到近场地侧的货窗边沿距离是 20，主要产品名称和标志图案会面向场地中心一侧。货窗中货物一定不会紧贴摆放。参见“货架上的货物摆放细节示意图”。场地正中心的 E 仓库区是一个长宽 1200×1200、高 200 的方台，方台上被高 200、厚 15 的围栏切分成 4 个长方形槽。E 区每个槽的货物数量无限制、摆放无规律。 </w:t>
      </w:r>
    </w:p>
    <w:p>
      <w:pPr>
        <w:keepNext w:val="0"/>
        <w:keepLines w:val="0"/>
        <w:widowControl/>
        <w:suppressLineNumbers w:val="0"/>
        <w:ind w:firstLine="420" w:firstLineChars="0"/>
        <w:jc w:val="left"/>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考虑不平整地形中机器人运动的鲁棒性，本届比赛的机器人</w:t>
      </w:r>
      <w:r>
        <w:rPr>
          <w:rFonts w:hint="eastAsia" w:ascii="宋体" w:hAnsi="宋体" w:eastAsia="宋体" w:cs="宋体"/>
          <w:b/>
          <w:bCs/>
          <w:color w:val="000000"/>
          <w:kern w:val="0"/>
          <w:sz w:val="18"/>
          <w:szCs w:val="18"/>
          <w:lang w:val="en-US" w:eastAsia="zh-CN" w:bidi="ar"/>
        </w:rPr>
        <w:t xml:space="preserve">禁止使用各种全向轮（全向轮是指麦克纳姆轮及其他在大轮子上装小轮子来使得机器人全向移动的轮胎设计）。 </w:t>
      </w:r>
    </w:p>
    <w:p>
      <w:pPr>
        <w:keepNext w:val="0"/>
        <w:keepLines w:val="0"/>
        <w:widowControl/>
        <w:suppressLineNumbers w:val="0"/>
        <w:ind w:firstLine="420" w:firstLineChars="0"/>
        <w:jc w:val="left"/>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考虑实物场景中机器人的交互需求，本届比赛</w:t>
      </w:r>
      <w:r>
        <w:rPr>
          <w:rFonts w:hint="eastAsia" w:ascii="宋体" w:hAnsi="宋体" w:eastAsia="宋体" w:cs="宋体"/>
          <w:b/>
          <w:bCs/>
          <w:color w:val="000000"/>
          <w:kern w:val="0"/>
          <w:sz w:val="18"/>
          <w:szCs w:val="18"/>
          <w:lang w:val="en-US" w:eastAsia="zh-CN" w:bidi="ar"/>
        </w:rPr>
        <w:t>不允许使用多机器人，</w:t>
      </w:r>
      <w:r>
        <w:rPr>
          <w:rFonts w:hint="eastAsia" w:ascii="宋体" w:hAnsi="宋体" w:eastAsia="宋体" w:cs="宋体"/>
          <w:color w:val="000000"/>
          <w:kern w:val="0"/>
          <w:sz w:val="18"/>
          <w:szCs w:val="18"/>
          <w:lang w:val="en-US" w:eastAsia="zh-CN" w:bidi="ar"/>
        </w:rPr>
        <w:t xml:space="preserve">比赛开始计时后，机器人需要展开一些机构从而超过最初 400×400×600 尺寸限制时，只允许将抓取和探测 </w:t>
      </w:r>
    </w:p>
    <w:p>
      <w:pPr>
        <w:keepNext w:val="0"/>
        <w:keepLines w:val="0"/>
        <w:widowControl/>
        <w:suppressLineNumbers w:val="0"/>
        <w:jc w:val="left"/>
        <w:rPr>
          <w:rFonts w:hint="eastAsia" w:ascii="宋体" w:hAnsi="宋体" w:eastAsia="宋体" w:cs="宋体"/>
          <w:b/>
          <w:bCs/>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货物相关的功能结构展开</w:t>
      </w:r>
      <w:r>
        <w:rPr>
          <w:rFonts w:hint="eastAsia" w:ascii="宋体" w:hAnsi="宋体" w:eastAsia="宋体" w:cs="宋体"/>
          <w:b/>
          <w:bCs/>
          <w:color w:val="000000"/>
          <w:kern w:val="0"/>
          <w:sz w:val="18"/>
          <w:szCs w:val="18"/>
          <w:lang w:val="en-US" w:eastAsia="zh-CN" w:bidi="ar"/>
        </w:rPr>
        <w:t xml:space="preserve">。 </w:t>
      </w:r>
    </w:p>
    <w:p>
      <w:pPr>
        <w:keepNext w:val="0"/>
        <w:keepLines w:val="0"/>
        <w:widowControl/>
        <w:suppressLineNumbers w:val="0"/>
        <w:ind w:firstLine="420" w:firstLineChars="0"/>
        <w:jc w:val="left"/>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考虑实际场景中机器人有限的携带能力，本届比赛中机器人</w:t>
      </w:r>
      <w:r>
        <w:rPr>
          <w:rFonts w:hint="eastAsia" w:ascii="宋体" w:hAnsi="宋体" w:eastAsia="宋体" w:cs="宋体"/>
          <w:b/>
          <w:bCs/>
          <w:color w:val="000000"/>
          <w:kern w:val="0"/>
          <w:sz w:val="18"/>
          <w:szCs w:val="18"/>
          <w:lang w:val="en-US" w:eastAsia="zh-CN" w:bidi="ar"/>
        </w:rPr>
        <w:t>任何时刻同时接触的物品数不能超过两个。</w:t>
      </w:r>
      <w:r>
        <w:rPr>
          <w:rFonts w:hint="eastAsia" w:ascii="宋体" w:hAnsi="宋体" w:eastAsia="宋体" w:cs="宋体"/>
          <w:color w:val="000000"/>
          <w:kern w:val="0"/>
          <w:sz w:val="18"/>
          <w:szCs w:val="18"/>
          <w:lang w:val="en-US" w:eastAsia="zh-CN" w:bidi="ar"/>
        </w:rPr>
        <w:t xml:space="preserve">若机器人学会使用购物车，则可一次性携带更多的物品，提高购物效率。购物车的相关规则详见第 4 条。 </w:t>
      </w:r>
    </w:p>
    <w:p>
      <w:pPr>
        <w:keepNext w:val="0"/>
        <w:keepLines w:val="0"/>
        <w:widowControl/>
        <w:suppressLineNumbers w:val="0"/>
        <w:ind w:firstLine="420" w:firstLineChars="0"/>
        <w:jc w:val="left"/>
        <w:rPr>
          <w:rFonts w:hint="eastAsia" w:ascii="宋体" w:hAnsi="宋体" w:eastAsia="宋体" w:cs="宋体"/>
          <w:sz w:val="21"/>
          <w:szCs w:val="21"/>
        </w:rPr>
      </w:pPr>
      <w:r>
        <w:rPr>
          <w:rFonts w:hint="eastAsia" w:ascii="宋体" w:hAnsi="宋体" w:eastAsia="宋体" w:cs="宋体"/>
          <w:color w:val="000000"/>
          <w:kern w:val="0"/>
          <w:sz w:val="18"/>
          <w:szCs w:val="18"/>
          <w:lang w:val="en-US" w:eastAsia="zh-CN" w:bidi="ar"/>
        </w:rPr>
        <w:t xml:space="preserve">比赛场地的其他尺寸参见“A 区尺寸图”和“E 区尺寸图”。最终比赛的实际场地允许存在±5mm 的误差，允许场地接缝处因制作误差出现不平整。 </w:t>
      </w:r>
    </w:p>
    <w:p>
      <w:pPr>
        <w:jc w:val="center"/>
        <w:rPr>
          <w:rFonts w:hint="eastAsia" w:ascii="宋体" w:hAnsi="宋体" w:eastAsia="宋体" w:cs="宋体"/>
          <w:sz w:val="21"/>
          <w:szCs w:val="21"/>
        </w:rPr>
      </w:pPr>
      <w:r>
        <w:rPr>
          <w:rFonts w:hint="eastAsia" w:ascii="宋体" w:hAnsi="宋体" w:eastAsia="宋体" w:cs="宋体"/>
          <w:sz w:val="21"/>
          <w:szCs w:val="21"/>
        </w:rPr>
        <w:drawing>
          <wp:inline distT="0" distB="0" distL="114300" distR="114300">
            <wp:extent cx="3241675" cy="2253615"/>
            <wp:effectExtent l="0" t="0" r="15875" b="133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3241675" cy="2253615"/>
                    </a:xfrm>
                    <a:prstGeom prst="rect">
                      <a:avLst/>
                    </a:prstGeom>
                    <a:noFill/>
                    <a:ln>
                      <a:noFill/>
                    </a:ln>
                  </pic:spPr>
                </pic:pic>
              </a:graphicData>
            </a:graphic>
          </wp:inline>
        </w:drawing>
      </w:r>
    </w:p>
    <w:p>
      <w:pPr>
        <w:keepNext w:val="0"/>
        <w:keepLines w:val="0"/>
        <w:widowControl/>
        <w:suppressLineNumbers w:val="0"/>
        <w:jc w:val="center"/>
        <w:rPr>
          <w:rFonts w:hint="eastAsia" w:ascii="宋体" w:hAnsi="宋体" w:eastAsia="宋体" w:cs="宋体"/>
          <w:sz w:val="21"/>
          <w:szCs w:val="21"/>
        </w:rPr>
      </w:pPr>
      <w:r>
        <w:rPr>
          <w:rFonts w:hint="eastAsia" w:ascii="宋体" w:hAnsi="宋体" w:eastAsia="宋体" w:cs="宋体"/>
          <w:b/>
          <w:bCs/>
          <w:color w:val="000000"/>
          <w:kern w:val="0"/>
          <w:sz w:val="21"/>
          <w:szCs w:val="21"/>
          <w:lang w:val="en-US" w:eastAsia="zh-CN" w:bidi="ar"/>
        </w:rPr>
        <w:t>A 区尺寸图（其他区除无“起点区”和“购物车区”，外尺寸与 A 区一致）</w:t>
      </w:r>
    </w:p>
    <w:p>
      <w:pPr>
        <w:jc w:val="center"/>
        <w:rPr>
          <w:rFonts w:hint="eastAsia" w:ascii="宋体" w:hAnsi="宋体" w:eastAsia="宋体" w:cs="宋体"/>
          <w:sz w:val="21"/>
          <w:szCs w:val="21"/>
        </w:rPr>
      </w:pPr>
      <w:r>
        <w:rPr>
          <w:rFonts w:hint="eastAsia" w:ascii="宋体" w:hAnsi="宋体" w:eastAsia="宋体" w:cs="宋体"/>
          <w:sz w:val="21"/>
          <w:szCs w:val="21"/>
        </w:rPr>
        <w:drawing>
          <wp:inline distT="0" distB="0" distL="114300" distR="114300">
            <wp:extent cx="2308225" cy="1278890"/>
            <wp:effectExtent l="0" t="0" r="15875" b="165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2308225" cy="1278890"/>
                    </a:xfrm>
                    <a:prstGeom prst="rect">
                      <a:avLst/>
                    </a:prstGeom>
                    <a:noFill/>
                    <a:ln>
                      <a:noFill/>
                    </a:ln>
                  </pic:spPr>
                </pic:pic>
              </a:graphicData>
            </a:graphic>
          </wp:inline>
        </w:drawing>
      </w:r>
    </w:p>
    <w:p>
      <w:pPr>
        <w:keepNext w:val="0"/>
        <w:keepLines w:val="0"/>
        <w:widowControl/>
        <w:suppressLineNumbers w:val="0"/>
        <w:jc w:val="center"/>
        <w:rPr>
          <w:rFonts w:hint="eastAsia" w:ascii="宋体" w:hAnsi="宋体" w:eastAsia="宋体" w:cs="宋体"/>
          <w:sz w:val="21"/>
          <w:szCs w:val="21"/>
        </w:rPr>
      </w:pPr>
      <w:r>
        <w:rPr>
          <w:rFonts w:hint="eastAsia" w:ascii="宋体" w:hAnsi="宋体" w:eastAsia="宋体" w:cs="宋体"/>
          <w:b/>
          <w:bCs/>
          <w:color w:val="000000"/>
          <w:kern w:val="0"/>
          <w:sz w:val="21"/>
          <w:szCs w:val="21"/>
          <w:lang w:val="en-US" w:eastAsia="zh-CN" w:bidi="ar"/>
        </w:rPr>
        <w:t>E区尺寸图</w:t>
      </w:r>
    </w:p>
    <w:p>
      <w:pPr>
        <w:numPr>
          <w:ilvl w:val="0"/>
          <w:numId w:val="0"/>
        </w:numP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3.购物清单</w:t>
      </w:r>
    </w:p>
    <w:p>
      <w:pPr>
        <w:keepNext w:val="0"/>
        <w:keepLines w:val="0"/>
        <w:widowControl/>
        <w:suppressLineNumbers w:val="0"/>
        <w:ind w:firstLine="420" w:firstLineChars="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购物清单中列出的货物是机器人需要从超市货架区识别、并抓取带回起点区的目标货物每种货物可能有多个，所有目标货物总数为24个。在每个货窗中只可能出现同一种目标货物或干扰物，仓库区的槽内可能有多种货物或干扰物。同种多个物品计分可以叠加。本届比赛使用的购物清单如下：</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val="en-US" w:eastAsia="zh-CN" w:bidi="ar"/>
              </w:rPr>
            </w:pPr>
            <w:r>
              <w:rPr>
                <w:rFonts w:hint="eastAsia" w:ascii="宋体" w:hAnsi="宋体" w:eastAsia="宋体" w:cs="宋体"/>
                <w:b/>
                <w:bCs/>
                <w:color w:val="000000"/>
                <w:kern w:val="0"/>
                <w:sz w:val="18"/>
                <w:szCs w:val="18"/>
                <w:vertAlign w:val="baseline"/>
                <w:lang w:val="en-US" w:eastAsia="zh-CN" w:bidi="ar"/>
              </w:rPr>
              <w:t>货物编号</w:t>
            </w:r>
          </w:p>
        </w:tc>
        <w:tc>
          <w:tcPr>
            <w:tcW w:w="2841"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val="en-US" w:eastAsia="zh-CN" w:bidi="ar"/>
              </w:rPr>
            </w:pPr>
            <w:r>
              <w:rPr>
                <w:rFonts w:hint="eastAsia" w:ascii="宋体" w:hAnsi="宋体" w:eastAsia="宋体" w:cs="宋体"/>
                <w:b/>
                <w:bCs/>
                <w:color w:val="000000"/>
                <w:kern w:val="0"/>
                <w:sz w:val="18"/>
                <w:szCs w:val="18"/>
                <w:vertAlign w:val="baseline"/>
                <w:lang w:val="en-US" w:eastAsia="zh-CN" w:bidi="ar"/>
              </w:rPr>
              <w:t>所需采购的目标货物</w:t>
            </w:r>
          </w:p>
        </w:tc>
        <w:tc>
          <w:tcPr>
            <w:tcW w:w="2841"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val="en-US" w:eastAsia="zh-CN" w:bidi="ar"/>
              </w:rPr>
            </w:pPr>
            <w:r>
              <w:rPr>
                <w:rFonts w:hint="eastAsia" w:ascii="宋体" w:hAnsi="宋体" w:eastAsia="宋体" w:cs="宋体"/>
                <w:b/>
                <w:bCs/>
                <w:color w:val="000000"/>
                <w:kern w:val="0"/>
                <w:sz w:val="18"/>
                <w:szCs w:val="18"/>
                <w:vertAlign w:val="baseline"/>
                <w:lang w:val="en-US" w:eastAsia="zh-CN" w:bidi="ar"/>
              </w:rPr>
              <w:t>可能出现此目标货物的货架区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eastAsia="zh-CN" w:bidi="ar"/>
              </w:rPr>
            </w:pPr>
            <w:r>
              <w:rPr>
                <w:rFonts w:hint="eastAsia" w:ascii="宋体" w:hAnsi="宋体" w:eastAsia="宋体" w:cs="宋体"/>
                <w:b/>
                <w:bCs/>
                <w:color w:val="000000"/>
                <w:kern w:val="0"/>
                <w:sz w:val="18"/>
                <w:szCs w:val="18"/>
                <w:vertAlign w:val="baseline"/>
                <w:lang w:eastAsia="zh-CN" w:bidi="ar"/>
              </w:rPr>
              <w:t>1</w:t>
            </w:r>
          </w:p>
        </w:tc>
        <w:tc>
          <w:tcPr>
            <w:tcW w:w="2841"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val="en-US" w:eastAsia="zh-CN" w:bidi="ar"/>
              </w:rPr>
            </w:pPr>
            <w:r>
              <w:rPr>
                <w:rFonts w:hint="eastAsia" w:ascii="宋体" w:hAnsi="宋体" w:eastAsia="宋体" w:cs="宋体"/>
                <w:b/>
                <w:bCs/>
                <w:color w:val="000000"/>
                <w:kern w:val="0"/>
                <w:sz w:val="18"/>
                <w:szCs w:val="18"/>
                <w:vertAlign w:val="baseline"/>
                <w:lang w:val="en-US" w:eastAsia="zh-CN" w:bidi="ar"/>
              </w:rPr>
              <w:t>红色方砖（</w:t>
            </w:r>
            <w:r>
              <w:rPr>
                <w:rFonts w:hint="eastAsia" w:ascii="宋体" w:hAnsi="宋体" w:eastAsia="宋体" w:cs="宋体"/>
                <w:b/>
                <w:bCs/>
                <w:color w:val="000000"/>
                <w:kern w:val="0"/>
                <w:sz w:val="18"/>
                <w:szCs w:val="18"/>
                <w:lang w:val="en-US" w:eastAsia="zh-CN" w:bidi="ar"/>
              </w:rPr>
              <w:t>50×50×50立方体）</w:t>
            </w:r>
          </w:p>
        </w:tc>
        <w:tc>
          <w:tcPr>
            <w:tcW w:w="2841"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val="en-US" w:eastAsia="zh-CN" w:bidi="ar"/>
              </w:rPr>
            </w:pPr>
            <w:r>
              <w:rPr>
                <w:rFonts w:hint="eastAsia" w:ascii="宋体" w:hAnsi="宋体" w:eastAsia="宋体" w:cs="宋体"/>
                <w:b/>
                <w:bCs/>
                <w:color w:val="000000"/>
                <w:kern w:val="0"/>
                <w:sz w:val="18"/>
                <w:szCs w:val="18"/>
                <w:lang w:val="en-US" w:eastAsia="zh-CN" w:bidi="ar"/>
              </w:rPr>
              <w:t>A、B货架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eastAsia="zh-CN" w:bidi="ar"/>
              </w:rPr>
            </w:pPr>
            <w:r>
              <w:rPr>
                <w:rFonts w:hint="eastAsia" w:ascii="宋体" w:hAnsi="宋体" w:eastAsia="宋体" w:cs="宋体"/>
                <w:b/>
                <w:bCs/>
                <w:color w:val="000000"/>
                <w:kern w:val="0"/>
                <w:sz w:val="18"/>
                <w:szCs w:val="18"/>
                <w:vertAlign w:val="baseline"/>
                <w:lang w:eastAsia="zh-CN" w:bidi="ar"/>
              </w:rPr>
              <w:t>2</w:t>
            </w:r>
          </w:p>
        </w:tc>
        <w:tc>
          <w:tcPr>
            <w:tcW w:w="2841"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val="en-US" w:eastAsia="zh-CN" w:bidi="ar"/>
              </w:rPr>
            </w:pPr>
            <w:r>
              <w:rPr>
                <w:rFonts w:hint="eastAsia" w:ascii="宋体" w:hAnsi="宋体" w:eastAsia="宋体" w:cs="宋体"/>
                <w:b/>
                <w:bCs/>
                <w:color w:val="000000"/>
                <w:kern w:val="0"/>
                <w:sz w:val="18"/>
                <w:szCs w:val="18"/>
                <w:lang w:val="en-US" w:eastAsia="zh-CN" w:bidi="ar"/>
              </w:rPr>
              <w:t>被打乱的标准三阶魔方</w:t>
            </w:r>
          </w:p>
        </w:tc>
        <w:tc>
          <w:tcPr>
            <w:tcW w:w="2841"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val="en-US" w:eastAsia="zh-CN" w:bidi="ar"/>
              </w:rPr>
            </w:pPr>
            <w:r>
              <w:rPr>
                <w:rFonts w:hint="eastAsia" w:ascii="宋体" w:hAnsi="宋体" w:eastAsia="宋体" w:cs="宋体"/>
                <w:b/>
                <w:bCs/>
                <w:color w:val="000000"/>
                <w:kern w:val="0"/>
                <w:sz w:val="18"/>
                <w:szCs w:val="18"/>
                <w:lang w:val="en-US" w:eastAsia="zh-CN" w:bidi="ar"/>
              </w:rPr>
              <w:t>A、B货架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eastAsia="zh-CN" w:bidi="ar"/>
              </w:rPr>
            </w:pPr>
            <w:r>
              <w:rPr>
                <w:rFonts w:hint="eastAsia" w:ascii="宋体" w:hAnsi="宋体" w:eastAsia="宋体" w:cs="宋体"/>
                <w:b/>
                <w:bCs/>
                <w:color w:val="000000"/>
                <w:kern w:val="0"/>
                <w:sz w:val="18"/>
                <w:szCs w:val="18"/>
                <w:vertAlign w:val="baseline"/>
                <w:lang w:eastAsia="zh-CN" w:bidi="ar"/>
              </w:rPr>
              <w:t>3</w:t>
            </w:r>
          </w:p>
        </w:tc>
        <w:tc>
          <w:tcPr>
            <w:tcW w:w="2841"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val="en-US" w:eastAsia="zh-CN" w:bidi="ar"/>
              </w:rPr>
            </w:pPr>
            <w:r>
              <w:rPr>
                <w:rFonts w:hint="eastAsia" w:ascii="宋体" w:hAnsi="宋体" w:eastAsia="宋体" w:cs="宋体"/>
                <w:b/>
                <w:bCs/>
                <w:color w:val="000000"/>
                <w:kern w:val="0"/>
                <w:sz w:val="18"/>
                <w:szCs w:val="18"/>
                <w:lang w:val="en-US" w:eastAsia="zh-CN" w:bidi="ar"/>
              </w:rPr>
              <w:t>蓝色方砖（50×50×50立方体）</w:t>
            </w:r>
          </w:p>
        </w:tc>
        <w:tc>
          <w:tcPr>
            <w:tcW w:w="2841"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val="en-US" w:eastAsia="zh-CN" w:bidi="ar"/>
              </w:rPr>
            </w:pPr>
            <w:r>
              <w:rPr>
                <w:rFonts w:hint="eastAsia" w:ascii="宋体" w:hAnsi="宋体" w:eastAsia="宋体" w:cs="宋体"/>
                <w:b/>
                <w:bCs/>
                <w:color w:val="000000"/>
                <w:kern w:val="0"/>
                <w:sz w:val="18"/>
                <w:szCs w:val="18"/>
                <w:lang w:val="en-US" w:eastAsia="zh-CN" w:bidi="ar"/>
              </w:rPr>
              <w:t>A、B货架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eastAsia="zh-CN" w:bidi="ar"/>
              </w:rPr>
            </w:pPr>
            <w:r>
              <w:rPr>
                <w:rFonts w:hint="eastAsia" w:ascii="宋体" w:hAnsi="宋体" w:eastAsia="宋体" w:cs="宋体"/>
                <w:b/>
                <w:bCs/>
                <w:color w:val="000000"/>
                <w:kern w:val="0"/>
                <w:sz w:val="18"/>
                <w:szCs w:val="18"/>
                <w:vertAlign w:val="baseline"/>
                <w:lang w:eastAsia="zh-CN" w:bidi="ar"/>
              </w:rPr>
              <w:t>4</w:t>
            </w:r>
          </w:p>
        </w:tc>
        <w:tc>
          <w:tcPr>
            <w:tcW w:w="2841"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val="en-US" w:eastAsia="zh-CN" w:bidi="ar"/>
              </w:rPr>
            </w:pPr>
            <w:r>
              <w:rPr>
                <w:rFonts w:hint="eastAsia" w:ascii="宋体" w:hAnsi="宋体" w:eastAsia="宋体" w:cs="宋体"/>
                <w:b/>
                <w:bCs/>
                <w:color w:val="000000"/>
                <w:kern w:val="0"/>
                <w:sz w:val="18"/>
                <w:szCs w:val="18"/>
                <w:lang w:val="en-US" w:eastAsia="zh-CN" w:bidi="ar"/>
              </w:rPr>
              <w:t>雪花啤酒（空）</w:t>
            </w:r>
          </w:p>
        </w:tc>
        <w:tc>
          <w:tcPr>
            <w:tcW w:w="2841"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val="en-US" w:eastAsia="zh-CN" w:bidi="ar"/>
              </w:rPr>
            </w:pPr>
            <w:r>
              <w:rPr>
                <w:rFonts w:hint="eastAsia" w:ascii="宋体" w:hAnsi="宋体" w:eastAsia="宋体" w:cs="宋体"/>
                <w:b/>
                <w:bCs/>
                <w:color w:val="000000"/>
                <w:kern w:val="0"/>
                <w:sz w:val="18"/>
                <w:szCs w:val="18"/>
                <w:lang w:val="en-US" w:eastAsia="zh-CN" w:bidi="ar"/>
              </w:rPr>
              <w:t>C、D货架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eastAsia="zh-CN" w:bidi="ar"/>
              </w:rPr>
            </w:pPr>
            <w:r>
              <w:rPr>
                <w:rFonts w:hint="eastAsia" w:ascii="宋体" w:hAnsi="宋体" w:eastAsia="宋体" w:cs="宋体"/>
                <w:b/>
                <w:bCs/>
                <w:color w:val="000000"/>
                <w:kern w:val="0"/>
                <w:sz w:val="18"/>
                <w:szCs w:val="18"/>
                <w:vertAlign w:val="baseline"/>
                <w:lang w:eastAsia="zh-CN" w:bidi="ar"/>
              </w:rPr>
              <w:t>5</w:t>
            </w:r>
          </w:p>
        </w:tc>
        <w:tc>
          <w:tcPr>
            <w:tcW w:w="2841"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val="en-US" w:eastAsia="zh-CN" w:bidi="ar"/>
              </w:rPr>
            </w:pPr>
            <w:r>
              <w:rPr>
                <w:rFonts w:hint="eastAsia" w:ascii="宋体" w:hAnsi="宋体" w:eastAsia="宋体" w:cs="宋体"/>
                <w:b/>
                <w:bCs/>
                <w:color w:val="000000"/>
                <w:kern w:val="0"/>
                <w:sz w:val="18"/>
                <w:szCs w:val="18"/>
                <w:lang w:val="en-US" w:eastAsia="zh-CN" w:bidi="ar"/>
              </w:rPr>
              <w:t>东鹏特饮（空）</w:t>
            </w:r>
          </w:p>
        </w:tc>
        <w:tc>
          <w:tcPr>
            <w:tcW w:w="2841"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val="en-US" w:eastAsia="zh-CN" w:bidi="ar"/>
              </w:rPr>
            </w:pPr>
            <w:r>
              <w:rPr>
                <w:rFonts w:hint="eastAsia" w:ascii="宋体" w:hAnsi="宋体" w:eastAsia="宋体" w:cs="宋体"/>
                <w:b/>
                <w:bCs/>
                <w:color w:val="000000"/>
                <w:kern w:val="0"/>
                <w:sz w:val="18"/>
                <w:szCs w:val="18"/>
                <w:lang w:val="en-US" w:eastAsia="zh-CN" w:bidi="ar"/>
              </w:rPr>
              <w:t>C、D货架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eastAsia="zh-CN" w:bidi="ar"/>
              </w:rPr>
            </w:pPr>
            <w:r>
              <w:rPr>
                <w:rFonts w:hint="eastAsia" w:ascii="宋体" w:hAnsi="宋体" w:eastAsia="宋体" w:cs="宋体"/>
                <w:b/>
                <w:bCs/>
                <w:color w:val="000000"/>
                <w:kern w:val="0"/>
                <w:sz w:val="18"/>
                <w:szCs w:val="18"/>
                <w:vertAlign w:val="baseline"/>
                <w:lang w:eastAsia="zh-CN" w:bidi="ar"/>
              </w:rPr>
              <w:t>6</w:t>
            </w:r>
          </w:p>
        </w:tc>
        <w:tc>
          <w:tcPr>
            <w:tcW w:w="2841"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val="en-US" w:eastAsia="zh-CN" w:bidi="ar"/>
              </w:rPr>
            </w:pPr>
            <w:r>
              <w:rPr>
                <w:rFonts w:hint="eastAsia" w:ascii="宋体" w:hAnsi="宋体" w:eastAsia="宋体" w:cs="宋体"/>
                <w:b/>
                <w:bCs/>
                <w:color w:val="000000"/>
                <w:kern w:val="0"/>
                <w:sz w:val="18"/>
                <w:szCs w:val="18"/>
                <w:lang w:val="en-US" w:eastAsia="zh-CN" w:bidi="ar"/>
              </w:rPr>
              <w:t>娃哈哈AD钙奶（空）</w:t>
            </w:r>
          </w:p>
        </w:tc>
        <w:tc>
          <w:tcPr>
            <w:tcW w:w="2841" w:type="dxa"/>
          </w:tcPr>
          <w:p>
            <w:pPr>
              <w:keepNext w:val="0"/>
              <w:keepLines w:val="0"/>
              <w:widowControl/>
              <w:suppressLineNumbers w:val="0"/>
              <w:jc w:val="left"/>
              <w:rPr>
                <w:rFonts w:hint="eastAsia" w:ascii="宋体" w:hAnsi="宋体" w:eastAsia="宋体" w:cs="宋体"/>
                <w:b/>
                <w:bCs/>
                <w:color w:val="000000"/>
                <w:kern w:val="0"/>
                <w:sz w:val="18"/>
                <w:szCs w:val="18"/>
                <w:vertAlign w:val="baseline"/>
                <w:lang w:val="en-US" w:eastAsia="zh-CN" w:bidi="ar"/>
              </w:rPr>
            </w:pPr>
            <w:r>
              <w:rPr>
                <w:rFonts w:hint="eastAsia" w:ascii="宋体" w:hAnsi="宋体" w:eastAsia="宋体" w:cs="宋体"/>
                <w:b/>
                <w:bCs/>
                <w:color w:val="000000"/>
                <w:kern w:val="0"/>
                <w:sz w:val="18"/>
                <w:szCs w:val="18"/>
                <w:lang w:val="en-US" w:eastAsia="zh-CN" w:bidi="ar"/>
              </w:rPr>
              <w:t>仓库E</w:t>
            </w:r>
          </w:p>
        </w:tc>
      </w:tr>
    </w:tbl>
    <w:p>
      <w:pPr>
        <w:keepNext w:val="0"/>
        <w:keepLines w:val="0"/>
        <w:widowControl/>
        <w:suppressLineNumbers w:val="0"/>
        <w:ind w:firstLine="420" w:firstLineChars="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目标货物的选取原则：为了有一个统一的参考标准，超市出售的商品作为货物编码4-6的目标货物，可能存在符合描述特征的其他包装与规格的产品，都被认为是正确的目标货物。（如东鹏特饮的罐装、瓶装、盒装都被认为是正确的目标货物</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val="en-US" w:eastAsia="zh-CN" w:bidi="ar"/>
        </w:rPr>
        <w:t xml:space="preserve">干扰物的选取没有规律，但其原则是人类消费者可以正常进行辨认的单个物体。 </w:t>
      </w:r>
    </w:p>
    <w:p>
      <w:pPr>
        <w:keepNext w:val="0"/>
        <w:keepLines w:val="0"/>
        <w:widowControl/>
        <w:suppressLineNumbers w:val="0"/>
        <w:jc w:val="left"/>
        <w:rPr>
          <w:rFonts w:hint="eastAsia" w:ascii="宋体" w:hAnsi="宋体" w:eastAsia="宋体" w:cs="宋体"/>
          <w:color w:val="000000"/>
          <w:kern w:val="0"/>
          <w:sz w:val="18"/>
          <w:szCs w:val="18"/>
          <w:lang w:val="en-US" w:eastAsia="zh-CN" w:bidi="ar"/>
        </w:rPr>
      </w:pPr>
    </w:p>
    <w:p>
      <w:pPr>
        <w:keepNext w:val="0"/>
        <w:keepLines w:val="0"/>
        <w:widowControl/>
        <w:suppressLineNumbers w:val="0"/>
        <w:jc w:val="left"/>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3.1分数计算方法：</w:t>
      </w:r>
    </w:p>
    <w:p>
      <w:pPr>
        <w:keepNext w:val="0"/>
        <w:keepLines w:val="0"/>
        <w:widowControl/>
        <w:suppressLineNumbers w:val="0"/>
        <w:ind w:firstLine="420" w:firstLineChars="0"/>
        <w:jc w:val="center"/>
        <w:rPr>
          <w:rFonts w:hint="eastAsia" w:ascii="宋体" w:hAnsi="宋体" w:eastAsia="宋体" w:cs="宋体"/>
          <w:b/>
          <w:bCs/>
          <w:color w:val="000000"/>
          <w:kern w:val="0"/>
          <w:sz w:val="18"/>
          <w:szCs w:val="18"/>
          <w:lang w:val="en-US" w:eastAsia="zh-CN" w:bidi="ar"/>
        </w:rPr>
      </w:pPr>
      <w:r>
        <w:rPr>
          <w:rFonts w:hint="eastAsia" w:ascii="宋体" w:hAnsi="宋体" w:eastAsia="宋体" w:cs="宋体"/>
          <w:b/>
          <w:bCs/>
          <w:color w:val="000000"/>
          <w:kern w:val="0"/>
          <w:sz w:val="18"/>
          <w:szCs w:val="18"/>
          <w:lang w:val="en-US" w:eastAsia="zh-CN" w:bidi="ar"/>
        </w:rPr>
        <w:t>某个物品的得分=Σ正确与否系数×是否带回物品＋是否损坏物品＋是否扰乱购物环境。</w:t>
      </w:r>
    </w:p>
    <w:p>
      <w:pPr>
        <w:keepNext w:val="0"/>
        <w:keepLines w:val="0"/>
        <w:widowControl/>
        <w:suppressLineNumbers w:val="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其中参数描述如下：</w:t>
      </w:r>
    </w:p>
    <w:p>
      <w:pPr>
        <w:keepNext w:val="0"/>
        <w:keepLines w:val="0"/>
        <w:widowControl/>
        <w:suppressLineNumbers w:val="0"/>
        <w:ind w:firstLine="420" w:firstLineChars="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（1）正确与否系数：正确物品系数为 1，干扰物系数为-1。</w:t>
      </w:r>
    </w:p>
    <w:p>
      <w:pPr>
        <w:keepNext w:val="0"/>
        <w:keepLines w:val="0"/>
        <w:widowControl/>
        <w:suppressLineNumbers w:val="0"/>
        <w:ind w:firstLine="420" w:firstLineChars="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（2）是否带回物品：带回物品为 5 分，未带回为 0 分。</w:t>
      </w:r>
    </w:p>
    <w:p>
      <w:pPr>
        <w:keepNext w:val="0"/>
        <w:keepLines w:val="0"/>
        <w:widowControl/>
        <w:suppressLineNumbers w:val="0"/>
        <w:ind w:firstLine="420" w:firstLineChars="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（3）是否损坏物品：物计分时外形发生明显变化，并且裁判无法徒手将其恢复成原来的状态，视为损坏物品，得分为-5 分，否则为 0 分。</w:t>
      </w:r>
    </w:p>
    <w:p>
      <w:pPr>
        <w:keepNext w:val="0"/>
        <w:keepLines w:val="0"/>
        <w:widowControl/>
        <w:suppressLineNumbers w:val="0"/>
        <w:ind w:firstLine="420" w:firstLineChars="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（4）机器人运行时与任何物品（包括正确物品和干扰物）发生碰撞导致其移动至其它货窗、槽或掉落在地上，视为扰乱购物环境，为-5 分。但若在比赛结束前由机器人自主地摆回原位置则不扣分。</w:t>
      </w:r>
    </w:p>
    <w:p>
      <w:pPr>
        <w:keepNext w:val="0"/>
        <w:keepLines w:val="0"/>
        <w:widowControl/>
        <w:suppressLineNumbers w:val="0"/>
        <w:jc w:val="left"/>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3.2物品被“带回”的定义：</w:t>
      </w:r>
    </w:p>
    <w:p>
      <w:pPr>
        <w:keepNext w:val="0"/>
        <w:keepLines w:val="0"/>
        <w:widowControl/>
        <w:suppressLineNumbers w:val="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（1）物品与起点区实体接触（仅地面投影重叠不算实体接触，下同）。</w:t>
      </w:r>
    </w:p>
    <w:p>
      <w:pPr>
        <w:keepNext w:val="0"/>
        <w:keepLines w:val="0"/>
        <w:widowControl/>
        <w:suppressLineNumbers w:val="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（2）物品与机器人实体接触，且机器人与起点区实体接触。</w:t>
      </w:r>
    </w:p>
    <w:p>
      <w:pPr>
        <w:keepNext w:val="0"/>
        <w:keepLines w:val="0"/>
        <w:widowControl/>
        <w:suppressLineNumbers w:val="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（3）物品与购物车内部接触，且购物车与购物车区实体接触，且购物车在机器人的 400距离范围内。物品与购物车区域直接接触不得分。购物车脱离机器人控制时，购物车内物品不得分。比赛结束前，机器人和购物车允许多次进入起点区和购物车区，不会导致比赛提前结束，但是仅按照当场比赛的结束状态进行计分。</w:t>
      </w:r>
    </w:p>
    <w:p>
      <w:pPr>
        <w:keepNext w:val="0"/>
        <w:keepLines w:val="0"/>
        <w:widowControl/>
        <w:suppressLineNumbers w:val="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（4）物品与另一个满足“被带回”条件物品实体接触，则也认为该物品“被带回”。</w:t>
      </w:r>
    </w:p>
    <w:p>
      <w:pPr>
        <w:keepNext w:val="0"/>
        <w:keepLines w:val="0"/>
        <w:widowControl/>
        <w:suppressLineNumbers w:val="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4.购物车设计</w:t>
      </w:r>
    </w:p>
    <w:p>
      <w:pPr>
        <w:keepNext w:val="0"/>
        <w:keepLines w:val="0"/>
        <w:widowControl/>
        <w:suppressLineNumbers w:val="0"/>
        <w:ind w:firstLine="420" w:firstLineChars="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请参赛队伍自制所用购物车，购物车的制作及使用有如下规则：</w:t>
      </w:r>
    </w:p>
    <w:p>
      <w:pPr>
        <w:keepNext w:val="0"/>
        <w:keepLines w:val="0"/>
        <w:widowControl/>
        <w:suppressLineNumbers w:val="0"/>
        <w:ind w:firstLine="420" w:firstLineChars="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（1）购物车尺寸不能小于 300×300，不得大于 500×500，高度不限。</w:t>
      </w:r>
    </w:p>
    <w:p>
      <w:pPr>
        <w:keepNext w:val="0"/>
        <w:keepLines w:val="0"/>
        <w:widowControl/>
        <w:suppressLineNumbers w:val="0"/>
        <w:ind w:firstLine="420" w:firstLineChars="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（2）除轮子外，购物车不允许连接任何可通电的设备或可活动的结构（包括电机、电池、传感器以及其它例如活页、绳、皮筋等机械部件），必须是刚体。</w:t>
      </w:r>
    </w:p>
    <w:p>
      <w:pPr>
        <w:keepNext w:val="0"/>
        <w:keepLines w:val="0"/>
        <w:widowControl/>
        <w:suppressLineNumbers w:val="0"/>
        <w:ind w:firstLine="420" w:firstLineChars="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3）购物车的轮子只能是脚轮（偏心脚轮）、普通轮或它们的组合。在任何时刻，购物车必须可以独立保持自身平衡（不允许独轮购物车和双轮购物车）。购物车必须且仅能通过所有轮子与地面接触，不能被机器人抬起。</w:t>
      </w:r>
    </w:p>
    <w:p>
      <w:pPr>
        <w:keepNext w:val="0"/>
        <w:keepLines w:val="0"/>
        <w:widowControl/>
        <w:suppressLineNumbers w:val="0"/>
        <w:ind w:firstLine="420" w:firstLineChars="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（4）机器人使用购物车时必须保持对购物车的控制。机器人与购物车要时刻保持不超过 400 的距离，否则购物车中货物会被立刻拿离场地直至比赛结束。失去控制的购物车会</w:t>
      </w:r>
    </w:p>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18"/>
          <w:szCs w:val="18"/>
          <w:lang w:val="en-US" w:eastAsia="zh-CN" w:bidi="ar"/>
        </w:rPr>
        <w:t>被强制拿回购物车区，而是放在原地，除非参赛队重启机器人。比赛分数统一按照当场比赛结束时的物品状态计分。中途得分不计入排名，仅在同分情况下，作为裁判进行具体排名的参考依据。</w:t>
      </w:r>
    </w:p>
    <w:p>
      <w:pPr>
        <w:keepNext w:val="0"/>
        <w:keepLines w:val="0"/>
        <w:widowControl/>
        <w:suppressLineNumbers w:val="0"/>
        <w:jc w:val="center"/>
        <w:rPr>
          <w:rFonts w:hint="eastAsia" w:ascii="宋体" w:hAnsi="宋体" w:eastAsia="宋体" w:cs="宋体"/>
          <w:sz w:val="21"/>
          <w:szCs w:val="21"/>
        </w:rPr>
      </w:pPr>
      <w:r>
        <w:rPr>
          <w:rFonts w:hint="eastAsia" w:ascii="宋体" w:hAnsi="宋体" w:eastAsia="宋体" w:cs="宋体"/>
          <w:sz w:val="21"/>
          <w:szCs w:val="21"/>
        </w:rPr>
        <w:drawing>
          <wp:inline distT="0" distB="0" distL="114300" distR="114300">
            <wp:extent cx="2531745" cy="2531745"/>
            <wp:effectExtent l="0" t="0" r="1905" b="190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8"/>
                    <a:stretch>
                      <a:fillRect/>
                    </a:stretch>
                  </pic:blipFill>
                  <pic:spPr>
                    <a:xfrm>
                      <a:off x="0" y="0"/>
                      <a:ext cx="2531745" cy="2531745"/>
                    </a:xfrm>
                    <a:prstGeom prst="rect">
                      <a:avLst/>
                    </a:prstGeom>
                    <a:noFill/>
                    <a:ln>
                      <a:noFill/>
                    </a:ln>
                  </pic:spPr>
                </pic:pic>
              </a:graphicData>
            </a:graphic>
          </wp:inline>
        </w:drawing>
      </w:r>
    </w:p>
    <w:p>
      <w:pPr>
        <w:keepNext w:val="0"/>
        <w:keepLines w:val="0"/>
        <w:widowControl/>
        <w:suppressLineNumbers w:val="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购物车区示意图</w:t>
      </w:r>
    </w:p>
    <w:p>
      <w:pPr>
        <w:keepNext w:val="0"/>
        <w:keepLines w:val="0"/>
        <w:widowControl/>
        <w:suppressLineNumbers w:val="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因起点区和购物车区不相交，比赛开始时机器人和购物车一定是分离的</w:t>
      </w:r>
    </w:p>
    <w:p>
      <w:pPr>
        <w:keepNext w:val="0"/>
        <w:keepLines w:val="0"/>
        <w:widowControl/>
        <w:numPr>
          <w:ilvl w:val="0"/>
          <w:numId w:val="1"/>
        </w:numPr>
        <w:suppressLineNumbers w:val="0"/>
        <w:jc w:val="left"/>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比赛详细流程和规则要求</w:t>
      </w:r>
    </w:p>
    <w:p>
      <w:pPr>
        <w:keepNext w:val="0"/>
        <w:keepLines w:val="0"/>
        <w:widowControl/>
        <w:numPr>
          <w:ilvl w:val="0"/>
          <w:numId w:val="0"/>
        </w:numPr>
        <w:suppressLineNumbers w:val="0"/>
        <w:jc w:val="left"/>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5.1 比赛详细流程</w:t>
      </w: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比赛开始前，会进行 2 分钟的准备倒计时。如果 2 分钟到，参赛队的机器人没有准备好，视为放弃本场比赛。机器人和购物车由参赛队自行选取摆放姿态，使机器人的地面投影完全在起点区内，购物车地面投影完全在购物车区内。参赛队员若对场上物品有异议，需在2 分钟倒计时结束后向裁判提出，且不允许接触机器人直至裁判调整好场上物品并宣布比赛开始。机器人启动后必须进入至少 10 秒钟的“启动等待”。在这 10 秒钟内，机器人不能有任何动作，且长宽高不能超过 400×400×600，同时裁判会将场上货物位置进行随机调整。</w:t>
      </w:r>
      <w:r>
        <w:rPr>
          <w:rFonts w:hint="eastAsia" w:ascii="宋体" w:hAnsi="宋体" w:eastAsia="宋体" w:cs="宋体"/>
          <w:sz w:val="18"/>
          <w:szCs w:val="18"/>
          <w:lang w:val="en-US" w:eastAsia="zh-CN"/>
        </w:rPr>
        <w:tab/>
      </w:r>
      <w:r>
        <w:rPr>
          <w:rFonts w:hint="eastAsia" w:ascii="宋体" w:hAnsi="宋体" w:eastAsia="宋体" w:cs="宋体"/>
          <w:sz w:val="18"/>
          <w:szCs w:val="18"/>
          <w:lang w:val="en-US" w:eastAsia="zh-CN"/>
        </w:rPr>
        <w:t>每场比赛的时间是 10 分钟，裁判会从机器人开始移动的那一瞬间开始计时。参赛队在比赛开始后的 3 分钟内，拥有一次“重启机器人”的权利，可将机器人撤离场地进行重启。在比赛过程中，参赛队员不申请结束比赛却触碰机器人视为重启，若无重启机会则视为提前终止本场比赛。其它人员在任何时刻不得接触机器人。</w:t>
      </w: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参赛队员需要利用重启机会调整自己的机器人和购物车，准备完毕后示意裁判可以继续比赛并进入“启动等待”阶段。</w:t>
      </w:r>
      <w:r>
        <w:rPr>
          <w:rFonts w:hint="eastAsia" w:ascii="宋体" w:hAnsi="宋体" w:eastAsia="宋体" w:cs="宋体"/>
          <w:b/>
          <w:bCs/>
          <w:sz w:val="18"/>
          <w:szCs w:val="18"/>
          <w:lang w:val="en-US" w:eastAsia="zh-CN"/>
        </w:rPr>
        <w:t>若重启机器人所花时间少于 3 分钟，则会自重启机器人时刻开始罚时 3 分钟继续计时。</w:t>
      </w:r>
      <w:r>
        <w:rPr>
          <w:rFonts w:hint="eastAsia" w:ascii="宋体" w:hAnsi="宋体" w:eastAsia="宋体" w:cs="宋体"/>
          <w:sz w:val="18"/>
          <w:szCs w:val="18"/>
          <w:lang w:val="en-US" w:eastAsia="zh-CN"/>
        </w:rPr>
        <w:t>另外，如果比赛计时已超过 3 分钟，“重启机器人”的权利将自动失效。重启过程中 10 分钟的比赛计时</w:t>
      </w:r>
      <w:r>
        <w:rPr>
          <w:rFonts w:hint="eastAsia" w:ascii="宋体" w:hAnsi="宋体" w:eastAsia="宋体" w:cs="宋体"/>
          <w:b/>
          <w:bCs/>
          <w:sz w:val="18"/>
          <w:szCs w:val="18"/>
          <w:lang w:val="en-US" w:eastAsia="zh-CN"/>
        </w:rPr>
        <w:t>不会停表</w:t>
      </w:r>
      <w:r>
        <w:rPr>
          <w:rFonts w:hint="eastAsia" w:ascii="宋体" w:hAnsi="宋体" w:eastAsia="宋体" w:cs="宋体"/>
          <w:sz w:val="18"/>
          <w:szCs w:val="18"/>
          <w:lang w:val="en-US" w:eastAsia="zh-CN"/>
        </w:rPr>
        <w:t>。起点区的得分和扣分物品仍然有效并不会被拿出场地，但与机器人和购物车接触的物品（也包括前述可得分或扣分物品）会被拿出场地，并且得分不计入总成绩，扣分计入总成绩。重启前已被挪动（掉落在地上或发生显著姿态变化）的物品在“启动等待”阶段不一定会被裁判摆放回原处，但一定会被裁判摆放到符合比赛要求的位置。</w:t>
      </w: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比赛时间用尽时，比赛结束。参赛队通过在比赛中接触机器人并提出终止并结束比赛的要求时，比赛提前结束。计算得分时，裁判会重新检查场上的所有货物，确保机器人取得的目标货物来自场上，否则裁判有权判本场比赛无效或取消本队的参赛资格。比赛结束后，裁判除了记录每队的每场得分和本队比赛剩余时间外，如果本队本场得分为 0 分，裁判还根据比赛过程中的表现记录为“有得失分 0 分”或“无得失分 0 分”，其评判标准如下：</w:t>
      </w: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r>
        <w:rPr>
          <w:rFonts w:hint="eastAsia" w:ascii="宋体" w:hAnsi="宋体" w:eastAsia="宋体" w:cs="宋体"/>
          <w:b/>
          <w:bCs/>
          <w:sz w:val="18"/>
          <w:szCs w:val="18"/>
          <w:lang w:val="en-US" w:eastAsia="zh-CN"/>
        </w:rPr>
        <w:t>有得失分 0 分：</w:t>
      </w:r>
      <w:r>
        <w:rPr>
          <w:rFonts w:hint="eastAsia" w:ascii="宋体" w:hAnsi="宋体" w:eastAsia="宋体" w:cs="宋体"/>
          <w:sz w:val="18"/>
          <w:szCs w:val="18"/>
          <w:lang w:val="en-US" w:eastAsia="zh-CN"/>
        </w:rPr>
        <w:t>比赛过程中机器人可以移动、并进行了识别和有效的抓取物品，使得最少一个物品被机器人带离货架或仓库，但因为抓取错误或其他扣分导致的 0 分场次。</w:t>
      </w: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r>
        <w:rPr>
          <w:rFonts w:hint="eastAsia" w:ascii="宋体" w:hAnsi="宋体" w:eastAsia="宋体" w:cs="宋体"/>
          <w:b/>
          <w:bCs/>
          <w:sz w:val="18"/>
          <w:szCs w:val="18"/>
          <w:lang w:val="en-US" w:eastAsia="zh-CN"/>
        </w:rPr>
        <w:t>无得失分 0：</w:t>
      </w:r>
      <w:r>
        <w:rPr>
          <w:rFonts w:hint="eastAsia" w:ascii="宋体" w:hAnsi="宋体" w:eastAsia="宋体" w:cs="宋体"/>
          <w:sz w:val="18"/>
          <w:szCs w:val="18"/>
          <w:lang w:val="en-US" w:eastAsia="zh-CN"/>
        </w:rPr>
        <w:t>因比赛弃权、被罚下场判 0 分、机器人无法移动和/或有效抓取物品（不能将任何物品带离货架或仓库，碰触落下的不算有效抓取）。</w:t>
      </w:r>
    </w:p>
    <w:p>
      <w:pPr>
        <w:keepNext w:val="0"/>
        <w:keepLines w:val="0"/>
        <w:widowControl/>
        <w:numPr>
          <w:ilvl w:val="0"/>
          <w:numId w:val="0"/>
        </w:numPr>
        <w:suppressLineNumbers w:val="0"/>
        <w:jc w:val="left"/>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5.2 规则要求</w:t>
      </w: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 必须使用由本队队员亲自制作的单台非遥控自主机器人参赛。若某队的机器人为“子母机”、遥控机器人（包含在比赛过程中通过远程方式给机器人传递信息）、购买的机器人整机、能对现场人员的安全造成威胁的机器人、能对比赛场地造成损坏的机器人、中途整机替换的非本队首场使用的机器人（不包含对本队原参赛机器人的修理和合理改进）之中的一种或多种，竞赛委员会有权利取消本代表队的参赛资格。</w:t>
      </w: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每支参赛队伍的机器人必须与其他参赛队的机器人在外观上有明显差异，在比赛现场改进、维修、调试机器人时应该保留这些差异，方便裁判和其他参赛队的辨认，否则，裁判有权利取消本代表队的参赛资格。</w:t>
      </w: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（3）正式比赛前，参赛队将接受竞赛组委会的“资格审查”，初步审查出违反竞赛规则要求的机器人。参赛队需展示满足规则要求的机器人完全展开后的最大尺寸（不超过 500×500×600）。对于有违背竞赛规则的机器人，组委会将要求其进行整改和重新审查或取消参赛资格。如果比赛过程中出现有违公平公正的情况，裁判有权利终止、重置、重判本场比赛，并将相关情况及时反映给竞赛委员会处理。参赛队员若对此有异议，可向竞赛委员会提出申诉。</w:t>
      </w:r>
    </w:p>
    <w:p>
      <w:pPr>
        <w:keepNext w:val="0"/>
        <w:keepLines w:val="0"/>
        <w:widowControl/>
        <w:numPr>
          <w:ilvl w:val="0"/>
          <w:numId w:val="0"/>
        </w:numPr>
        <w:suppressLineNumbers w:val="0"/>
        <w:jc w:val="left"/>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6. 比赛排名</w:t>
      </w: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比赛共进行两轮。所有参赛队通过抽签的方式决定每轮比赛的出场顺序。每支参赛队共可进行两场比赛，通过将两场比赛的得分按照权重相加，得到“比赛最终得分”，并优先按照得分高低，其次按照两场比赛的“累积剩余时间”多少来决定比赛的最终名次。若分数仍然相同，则由裁判组现场决定评判方法。</w:t>
      </w: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jc w:val="center"/>
        <w:rPr>
          <w:rFonts w:hint="eastAsia" w:ascii="宋体" w:hAnsi="宋体" w:eastAsia="宋体" w:cs="宋体"/>
          <w:b/>
          <w:bCs/>
          <w:sz w:val="18"/>
          <w:szCs w:val="18"/>
          <w:lang w:val="en-US" w:eastAsia="zh-CN"/>
        </w:rPr>
      </w:pPr>
      <w:r>
        <w:rPr>
          <w:rFonts w:hint="eastAsia" w:ascii="宋体" w:hAnsi="宋体" w:eastAsia="宋体" w:cs="宋体"/>
          <w:b/>
          <w:bCs/>
          <w:sz w:val="18"/>
          <w:szCs w:val="18"/>
          <w:lang w:val="en-US" w:eastAsia="zh-CN"/>
        </w:rPr>
        <w:t>比赛最终得分＝第一场比赛得分×80%＋第二场比赛得分×120%</w:t>
      </w:r>
    </w:p>
    <w:p>
      <w:pPr>
        <w:keepNext w:val="0"/>
        <w:keepLines w:val="0"/>
        <w:widowControl/>
        <w:numPr>
          <w:ilvl w:val="0"/>
          <w:numId w:val="0"/>
        </w:numPr>
        <w:suppressLineNumbers w:val="0"/>
        <w:jc w:val="center"/>
        <w:rPr>
          <w:rFonts w:hint="eastAsia" w:ascii="宋体" w:hAnsi="宋体" w:eastAsia="宋体" w:cs="宋体"/>
          <w:b/>
          <w:bCs/>
          <w:sz w:val="18"/>
          <w:szCs w:val="18"/>
          <w:lang w:val="en-US" w:eastAsia="zh-CN"/>
        </w:rPr>
      </w:pPr>
      <w:r>
        <w:rPr>
          <w:rFonts w:hint="eastAsia" w:ascii="宋体" w:hAnsi="宋体" w:eastAsia="宋体" w:cs="宋体"/>
          <w:b/>
          <w:bCs/>
          <w:sz w:val="18"/>
          <w:szCs w:val="18"/>
          <w:lang w:val="en-US" w:eastAsia="zh-CN"/>
        </w:rPr>
        <w:t>累积剩余时间＝第一场剩余时间＋第二场剩余时间</w:t>
      </w:r>
    </w:p>
    <w:p>
      <w:pPr>
        <w:keepNext w:val="0"/>
        <w:keepLines w:val="0"/>
        <w:widowControl/>
        <w:numPr>
          <w:ilvl w:val="0"/>
          <w:numId w:val="0"/>
        </w:numPr>
        <w:suppressLineNumbers w:val="0"/>
        <w:jc w:val="center"/>
        <w:rPr>
          <w:rFonts w:hint="eastAsia" w:ascii="宋体" w:hAnsi="宋体" w:eastAsia="宋体" w:cs="宋体"/>
          <w:b/>
          <w:bCs/>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为保证理论最高得分的公平性，任何一场比赛中每场比赛的货架上可获得的最高分数为一个固定值 120 分（有效货物总数量为固定值），且仓库中的有效货物数量也为一个固定值。</w:t>
      </w: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*另外，考虑到比赛中无法得失分数的 0 分队伍在表现上次于有得失分的 0 分队伍和负分队伍，客观上的排名应该按照如下原则统计：</w:t>
      </w: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jc w:val="center"/>
        <w:rPr>
          <w:rFonts w:hint="eastAsia" w:ascii="宋体" w:hAnsi="宋体" w:eastAsia="宋体" w:cs="宋体"/>
          <w:b/>
          <w:bCs/>
          <w:sz w:val="18"/>
          <w:szCs w:val="18"/>
          <w:lang w:val="en-US" w:eastAsia="zh-CN"/>
        </w:rPr>
      </w:pPr>
      <w:r>
        <w:rPr>
          <w:rFonts w:hint="eastAsia" w:ascii="宋体" w:hAnsi="宋体" w:eastAsia="宋体" w:cs="宋体"/>
          <w:b/>
          <w:bCs/>
          <w:sz w:val="18"/>
          <w:szCs w:val="18"/>
          <w:lang w:val="en-US" w:eastAsia="zh-CN"/>
        </w:rPr>
        <w:t>正分数&gt;有得失分的正分数&gt;有得失分 0 分&gt;负分数&gt;无得失分 0 分</w:t>
      </w:r>
    </w:p>
    <w:p>
      <w:pPr>
        <w:keepNext w:val="0"/>
        <w:keepLines w:val="0"/>
        <w:widowControl/>
        <w:numPr>
          <w:ilvl w:val="0"/>
          <w:numId w:val="0"/>
        </w:numPr>
        <w:suppressLineNumbers w:val="0"/>
        <w:jc w:val="center"/>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为了方便对每场比赛的成绩进行排名，“无得失分 0 分”的比赛最终得分会进行修正，修正公式为：</w:t>
      </w: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jc w:val="center"/>
        <w:rPr>
          <w:rFonts w:hint="eastAsia" w:ascii="宋体" w:hAnsi="宋体" w:eastAsia="宋体" w:cs="宋体"/>
          <w:b/>
          <w:bCs/>
          <w:sz w:val="18"/>
          <w:szCs w:val="18"/>
          <w:lang w:val="en-US" w:eastAsia="zh-CN"/>
        </w:rPr>
      </w:pPr>
      <w:r>
        <w:rPr>
          <w:rFonts w:hint="eastAsia" w:ascii="宋体" w:hAnsi="宋体" w:eastAsia="宋体" w:cs="宋体"/>
          <w:b/>
          <w:bCs/>
          <w:sz w:val="18"/>
          <w:szCs w:val="18"/>
          <w:lang w:val="en-US" w:eastAsia="zh-CN"/>
        </w:rPr>
        <w:t>每场无得失分 0 分的最终得分 = 本场比赛其他队的最低负分 - 1 分</w:t>
      </w:r>
    </w:p>
    <w:p>
      <w:pPr>
        <w:keepNext w:val="0"/>
        <w:keepLines w:val="0"/>
        <w:widowControl/>
        <w:numPr>
          <w:ilvl w:val="0"/>
          <w:numId w:val="0"/>
        </w:numPr>
        <w:suppressLineNumbers w:val="0"/>
        <w:jc w:val="center"/>
        <w:rPr>
          <w:rFonts w:hint="eastAsia" w:ascii="宋体" w:hAnsi="宋体" w:eastAsia="宋体" w:cs="宋体"/>
          <w:b/>
          <w:bCs/>
          <w:sz w:val="18"/>
          <w:szCs w:val="18"/>
          <w:lang w:val="en-US" w:eastAsia="zh-CN"/>
        </w:rPr>
      </w:pPr>
    </w:p>
    <w:p>
      <w:pPr>
        <w:keepNext w:val="0"/>
        <w:keepLines w:val="0"/>
        <w:widowControl/>
        <w:numPr>
          <w:ilvl w:val="0"/>
          <w:numId w:val="0"/>
        </w:numPr>
        <w:suppressLineNumbers w:val="0"/>
        <w:jc w:val="left"/>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7.参赛要求</w:t>
      </w: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由浙江省同一所大学的在校大学生组成的代表队，且每队的成员人数最多为 3 名，并制作</w:t>
      </w:r>
      <w:r>
        <w:rPr>
          <w:rFonts w:hint="eastAsia" w:ascii="宋体" w:hAnsi="宋体" w:eastAsia="宋体" w:cs="宋体"/>
          <w:b/>
          <w:bCs/>
          <w:sz w:val="18"/>
          <w:szCs w:val="18"/>
          <w:lang w:val="en-US" w:eastAsia="zh-CN"/>
        </w:rPr>
        <w:t>单台</w:t>
      </w:r>
      <w:r>
        <w:rPr>
          <w:rFonts w:hint="eastAsia" w:ascii="宋体" w:hAnsi="宋体" w:eastAsia="宋体" w:cs="宋体"/>
          <w:sz w:val="18"/>
          <w:szCs w:val="18"/>
          <w:lang w:val="en-US" w:eastAsia="zh-CN"/>
        </w:rPr>
        <w:t>机器人参加比赛。</w:t>
      </w: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ind w:firstLine="420" w:firstLineChars="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jc w:val="left"/>
        <w:rPr>
          <w:rFonts w:hint="eastAsia" w:ascii="宋体" w:hAnsi="宋体" w:eastAsia="宋体" w:cs="宋体"/>
          <w:sz w:val="18"/>
          <w:szCs w:val="18"/>
          <w:lang w:val="en-US" w:eastAsia="zh-CN"/>
        </w:rPr>
      </w:pPr>
    </w:p>
    <w:p>
      <w:pPr>
        <w:keepNext w:val="0"/>
        <w:keepLines w:val="0"/>
        <w:widowControl/>
        <w:numPr>
          <w:ilvl w:val="0"/>
          <w:numId w:val="0"/>
        </w:numPr>
        <w:suppressLineNumbers w:val="0"/>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运输机器人对抗赛·规则文档</w:t>
      </w:r>
    </w:p>
    <w:p>
      <w:pPr>
        <w:keepNext w:val="0"/>
        <w:keepLines w:val="0"/>
        <w:widowControl/>
        <w:numPr>
          <w:ilvl w:val="0"/>
          <w:numId w:val="0"/>
        </w:numPr>
        <w:suppressLineNumbers w:val="0"/>
        <w:jc w:val="both"/>
        <w:rPr>
          <w:rFonts w:hint="default" w:ascii="宋体" w:hAnsi="宋体" w:eastAsia="宋体" w:cs="宋体"/>
          <w:b/>
          <w:bCs/>
          <w:sz w:val="21"/>
          <w:szCs w:val="21"/>
          <w:lang w:val="en-US" w:eastAsia="zh-CN"/>
        </w:rPr>
      </w:pPr>
      <w:r>
        <w:rPr>
          <w:rFonts w:hint="eastAsia" w:ascii="宋体" w:hAnsi="宋体" w:eastAsia="宋体" w:cs="宋体"/>
          <w:b/>
          <w:bCs/>
          <w:sz w:val="21"/>
          <w:szCs w:val="21"/>
          <w:lang w:val="en-US" w:eastAsia="zh-CN"/>
        </w:rPr>
        <w:t>1.比赛任务简介</w:t>
      </w:r>
    </w:p>
    <w:p>
      <w:pPr>
        <w:keepNext w:val="0"/>
        <w:keepLines w:val="0"/>
        <w:widowControl/>
        <w:numPr>
          <w:ilvl w:val="0"/>
          <w:numId w:val="0"/>
        </w:numPr>
        <w:suppressLineNumbers w:val="0"/>
        <w:ind w:firstLine="420" w:firstLineChars="0"/>
        <w:jc w:val="both"/>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场地上有 10 个黄色的“能量环”、1 个绿色的 “增益环”。要求在 3 分钟的比赛时间内，各队需要尽可能多的收集场上的能量环到本队颜色的收集区。每队的能量收集区有 4 个区域：角落 L 形的 1 分区，可收集最多 4 个能量环，每个能量环为本队得 1 分，最多 4 分；每队有 2 个 2 分区，每个 2 分区都可收集最多 3 个能量环，每个能量环为本队得 2 分，因此这两个区域最多得 12 分；每队还有 1 个 3 分区，可收集最多 5 个能量环，每个能量环为本队得 3 分，本区最多得 15 分。增益环不能产生能量，但当增益环处于某队的某个收集区，且此收集区至少有一个能量环时，会让此区能量收益最大（比如增益环被放入蓝队的一个 2 分区，此2 分区还有一个能量环，则此 2 分区直接获得 6 分，但是另外一个 2 分区不受影响）。比赛时间用尽前，如果某队在 1 分区、2分区、3 分区各收集了最少 2 个有效能量环（不含增益环的效果），那么，这些能量环会产生“能量共鸣”，使得本队直接获得 31 点能量值，计时结束。否则当3分钟时间用尽或者参赛队员主动提出结束时，比赛结束。</w:t>
      </w:r>
    </w:p>
    <w:p>
      <w:pPr>
        <w:keepNext w:val="0"/>
        <w:keepLines w:val="0"/>
        <w:widowControl/>
        <w:numPr>
          <w:ilvl w:val="0"/>
          <w:numId w:val="2"/>
        </w:numPr>
        <w:suppressLineNumbers w:val="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比赛场地说明（尺寸 mm）</w:t>
      </w:r>
    </w:p>
    <w:p>
      <w:pPr>
        <w:keepNext w:val="0"/>
        <w:keepLines w:val="0"/>
        <w:widowControl/>
        <w:numPr>
          <w:ilvl w:val="0"/>
          <w:numId w:val="0"/>
        </w:numPr>
        <w:suppressLineNumbers w:val="0"/>
        <w:jc w:val="center"/>
        <w:rPr>
          <w:rFonts w:hint="eastAsia" w:ascii="宋体" w:hAnsi="宋体" w:eastAsia="宋体" w:cs="宋体"/>
          <w:sz w:val="18"/>
          <w:szCs w:val="18"/>
        </w:rPr>
      </w:pPr>
      <w:r>
        <w:rPr>
          <w:rFonts w:hint="eastAsia" w:ascii="宋体" w:hAnsi="宋体" w:eastAsia="宋体" w:cs="宋体"/>
          <w:sz w:val="18"/>
          <w:szCs w:val="18"/>
        </w:rPr>
        <w:drawing>
          <wp:inline distT="0" distB="0" distL="114300" distR="114300">
            <wp:extent cx="4360545" cy="2756535"/>
            <wp:effectExtent l="0" t="0" r="1905" b="571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9"/>
                    <a:stretch>
                      <a:fillRect/>
                    </a:stretch>
                  </pic:blipFill>
                  <pic:spPr>
                    <a:xfrm>
                      <a:off x="0" y="0"/>
                      <a:ext cx="4360545" cy="2756535"/>
                    </a:xfrm>
                    <a:prstGeom prst="rect">
                      <a:avLst/>
                    </a:prstGeom>
                    <a:noFill/>
                    <a:ln>
                      <a:noFill/>
                    </a:ln>
                  </pic:spPr>
                </pic:pic>
              </a:graphicData>
            </a:graphic>
          </wp:inline>
        </w:drawing>
      </w:r>
    </w:p>
    <w:p>
      <w:pPr>
        <w:keepNext w:val="0"/>
        <w:keepLines w:val="0"/>
        <w:widowControl/>
        <w:numPr>
          <w:ilvl w:val="0"/>
          <w:numId w:val="0"/>
        </w:numPr>
        <w:suppressLineNumbers w:val="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收集对抗比赛场地示意图</w:t>
      </w:r>
    </w:p>
    <w:p>
      <w:pPr>
        <w:keepNext w:val="0"/>
        <w:keepLines w:val="0"/>
        <w:widowControl/>
        <w:numPr>
          <w:ilvl w:val="0"/>
          <w:numId w:val="0"/>
        </w:numPr>
        <w:suppressLineNumbers w:val="0"/>
        <w:jc w:val="center"/>
        <w:rPr>
          <w:rFonts w:hint="eastAsia" w:ascii="宋体" w:hAnsi="宋体" w:eastAsia="宋体" w:cs="宋体"/>
          <w:b/>
          <w:bCs/>
          <w:color w:val="FF0000"/>
          <w:sz w:val="21"/>
          <w:szCs w:val="21"/>
          <w:lang w:val="en-US" w:eastAsia="zh-CN"/>
        </w:rPr>
      </w:pPr>
      <w:r>
        <w:rPr>
          <w:rFonts w:hint="eastAsia" w:ascii="宋体" w:hAnsi="宋体" w:eastAsia="宋体" w:cs="宋体"/>
          <w:b/>
          <w:bCs/>
          <w:color w:val="FF0000"/>
          <w:sz w:val="21"/>
          <w:szCs w:val="21"/>
          <w:lang w:val="en-US" w:eastAsia="zh-CN"/>
        </w:rPr>
        <w:t>（注：校赛时同一时间仅有一个队伍参加比赛，使用蓝方区域，所有红色区域都以同周围黑白格子样式覆盖）</w:t>
      </w:r>
    </w:p>
    <w:p>
      <w:pPr>
        <w:keepNext w:val="0"/>
        <w:keepLines w:val="0"/>
        <w:widowControl/>
        <w:numPr>
          <w:ilvl w:val="0"/>
          <w:numId w:val="0"/>
        </w:numPr>
        <w:suppressLineNumbers w:val="0"/>
        <w:ind w:firstLine="420" w:firstLineChars="0"/>
        <w:jc w:val="both"/>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比赛场地为木制（最终比赛场地建议使用木工板作为主材制作），大小为 4000×3200，周边有高 100、厚 15 的围栏。场地地面喷涂了黑色哑光漆（建议直接使用无纹黑色哑光免漆木工板），并粘贴了若干宽 30 的白色引导线（引导线围成的基本方格边长是 400，引导线一般采用宽 30 的白色高粘布基胶带粘贴，因此白线交叉处会略微厚一点）。各队的启动区和收集区的上表面张贴了代表本队颜色的深色哑光广告贴纸。场地的围栏和其他部分为白色。</w:t>
      </w:r>
    </w:p>
    <w:p>
      <w:pPr>
        <w:keepNext w:val="0"/>
        <w:keepLines w:val="0"/>
        <w:widowControl/>
        <w:numPr>
          <w:ilvl w:val="0"/>
          <w:numId w:val="0"/>
        </w:numPr>
        <w:suppressLineNumbers w:val="0"/>
        <w:ind w:firstLine="420" w:firstLineChars="0"/>
        <w:jc w:val="both"/>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能量环和增益环的外径 80（最大值，建议比赛场地采用 79、78 外径）、内孔径 40（最小值，建议比赛场地采用 41、42 内孔径）、高 18，圆环都为木质材料，表面喷涂对应颜色的木工漆或者包裹对应颜色的广告贴纸。</w:t>
      </w:r>
    </w:p>
    <w:p>
      <w:pPr>
        <w:keepNext w:val="0"/>
        <w:keepLines w:val="0"/>
        <w:widowControl/>
        <w:numPr>
          <w:ilvl w:val="0"/>
          <w:numId w:val="0"/>
        </w:numPr>
        <w:suppressLineNumbers w:val="0"/>
        <w:ind w:firstLine="420" w:firstLineChars="0"/>
        <w:jc w:val="both"/>
        <w:rPr>
          <w:rFonts w:hint="eastAsia" w:ascii="宋体" w:hAnsi="宋体" w:eastAsia="宋体" w:cs="宋体"/>
          <w:sz w:val="18"/>
          <w:szCs w:val="18"/>
        </w:rPr>
      </w:pPr>
      <w:r>
        <w:rPr>
          <w:rFonts w:hint="eastAsia" w:ascii="宋体" w:hAnsi="宋体" w:eastAsia="宋体" w:cs="宋体"/>
          <w:sz w:val="18"/>
          <w:szCs w:val="18"/>
        </w:rPr>
        <w:drawing>
          <wp:inline distT="0" distB="0" distL="114300" distR="114300">
            <wp:extent cx="5271135" cy="3476625"/>
            <wp:effectExtent l="0" t="0" r="5715" b="952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0"/>
                    <a:stretch>
                      <a:fillRect/>
                    </a:stretch>
                  </pic:blipFill>
                  <pic:spPr>
                    <a:xfrm>
                      <a:off x="0" y="0"/>
                      <a:ext cx="5271135" cy="3476625"/>
                    </a:xfrm>
                    <a:prstGeom prst="rect">
                      <a:avLst/>
                    </a:prstGeom>
                    <a:noFill/>
                    <a:ln>
                      <a:noFill/>
                    </a:ln>
                  </pic:spPr>
                </pic:pic>
              </a:graphicData>
            </a:graphic>
          </wp:inline>
        </w:drawing>
      </w:r>
    </w:p>
    <w:p>
      <w:pPr>
        <w:keepNext w:val="0"/>
        <w:keepLines w:val="0"/>
        <w:widowControl/>
        <w:numPr>
          <w:ilvl w:val="0"/>
          <w:numId w:val="0"/>
        </w:numPr>
        <w:suppressLineNumbers w:val="0"/>
        <w:ind w:firstLine="420" w:firstLineChars="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收集对抗比赛场地尺寸图</w:t>
      </w:r>
    </w:p>
    <w:p>
      <w:pPr>
        <w:keepNext w:val="0"/>
        <w:keepLines w:val="0"/>
        <w:widowControl/>
        <w:numPr>
          <w:ilvl w:val="0"/>
          <w:numId w:val="0"/>
        </w:numPr>
        <w:suppressLineNumbers w:val="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3. 比赛详细流程和规则要求</w:t>
      </w:r>
    </w:p>
    <w:p>
      <w:pPr>
        <w:keepNext w:val="0"/>
        <w:keepLines w:val="0"/>
        <w:widowControl/>
        <w:numPr>
          <w:ilvl w:val="0"/>
          <w:numId w:val="0"/>
        </w:numPr>
        <w:suppressLineNumbers w:val="0"/>
        <w:ind w:firstLine="42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3.1 机器人</w:t>
      </w:r>
    </w:p>
    <w:p>
      <w:pPr>
        <w:keepNext w:val="0"/>
        <w:keepLines w:val="0"/>
        <w:widowControl/>
        <w:numPr>
          <w:ilvl w:val="0"/>
          <w:numId w:val="0"/>
        </w:numPr>
        <w:suppressLineNumbers w:val="0"/>
        <w:ind w:firstLine="420" w:firstLineChars="0"/>
        <w:jc w:val="both"/>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制作一台机器人参加比赛（这里一台指可以完全放入启动区且符合规则 3.3 比赛尺寸要求的机器人，允许机器人设计能分离的机构，但这些“机构”不能太小，任何机构在完全分离后必须满足：保证此分离机构可以在之后比赛中被再次使用的情况下，裁判只借助双手的简单操作却无法将其放入一个规格 900g 的伊利高钙高铁奶粉的空奶粉罐中且盖上盖子。此处指定选择这样一只奶粉罐是符合宽 127mm高 161mm 的国际罐形规格，并方便裁判现场对参赛机器人疑似违规的分离机构进行快速检测），机器人必须使用由本队队员亲自制作的非遥控自主机器人参赛。如果某队的机器人为遥控机器人（包含在比赛过程中通过有人参与的远程方式给机器人传递信息，人为的通过机器人传感器为机器人传递信息以改变机器人自主运行的，但机器人通过设计好的程序自主获取互联网上的公用信息的情况除外）、购买的机器人方案整机、喷洒液体和粉末等无法快速回收物品的机器人、能对现场人员的安全造成威胁的机器人、能对比赛场地造成损坏的机器人、明显的以暴力破坏对方机器人为目的而设计制作的机器人、中途整机替换的非本队首场使用的机器人（不包含在比赛现场对本队原参赛机器人的修理和合理改进）”之中的一种或多种，竞赛委员会有权利取消本代表队的参赛资格。</w:t>
      </w:r>
    </w:p>
    <w:p>
      <w:pPr>
        <w:keepNext w:val="0"/>
        <w:keepLines w:val="0"/>
        <w:widowControl/>
        <w:numPr>
          <w:ilvl w:val="0"/>
          <w:numId w:val="0"/>
        </w:numPr>
        <w:suppressLineNumbers w:val="0"/>
        <w:ind w:firstLine="42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3.2 机器人外观</w:t>
      </w:r>
    </w:p>
    <w:p>
      <w:pPr>
        <w:keepNext w:val="0"/>
        <w:keepLines w:val="0"/>
        <w:widowControl/>
        <w:numPr>
          <w:ilvl w:val="0"/>
          <w:numId w:val="0"/>
        </w:numPr>
        <w:suppressLineNumbers w:val="0"/>
        <w:ind w:firstLine="420" w:firstLineChars="0"/>
        <w:jc w:val="both"/>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每支参赛队伍的机器人必须与其他参赛队的机器人在外观上有明显差异，在比赛现场改进、维修、调试机器人时应该保留这些差异性，方便裁判和其他参赛队的辨认，否则，裁判有权利取消本代表队的参赛资格。</w:t>
      </w:r>
    </w:p>
    <w:p>
      <w:pPr>
        <w:keepNext w:val="0"/>
        <w:keepLines w:val="0"/>
        <w:widowControl/>
        <w:numPr>
          <w:ilvl w:val="0"/>
          <w:numId w:val="0"/>
        </w:numPr>
        <w:suppressLineNumbers w:val="0"/>
        <w:ind w:firstLine="42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3.3准备和尺寸</w:t>
      </w:r>
    </w:p>
    <w:p>
      <w:pPr>
        <w:keepNext w:val="0"/>
        <w:keepLines w:val="0"/>
        <w:widowControl/>
        <w:numPr>
          <w:ilvl w:val="0"/>
          <w:numId w:val="0"/>
        </w:numPr>
        <w:suppressLineNumbers w:val="0"/>
        <w:ind w:firstLine="420" w:firstLineChars="0"/>
        <w:jc w:val="both"/>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每场比赛开始前，比赛队伍有 60 秒的上场准备时间（准备时间不是调试时间，请上场后听从裁判的口令操作机器人），轮到上场时，各队代表应携机器人迅速到达对应场地，上场后，机器人的地面投影区必须完全处在本队“机器人启动区”的颜色框内（32cm×32cm），且高度不能超过 50cm（按照规则 3.4 完成启动后，机器人的尺寸不再受到限制）。各队准备好后，应向裁判示意并接受裁判的检查。如果 60 秒准备时间到，则没有准备好的队伍视为本场比赛弃权。</w:t>
      </w:r>
    </w:p>
    <w:p>
      <w:pPr>
        <w:keepNext w:val="0"/>
        <w:keepLines w:val="0"/>
        <w:widowControl/>
        <w:numPr>
          <w:ilvl w:val="0"/>
          <w:numId w:val="0"/>
        </w:numPr>
        <w:suppressLineNumbers w:val="0"/>
        <w:ind w:firstLine="42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3.4 机器人启动</w:t>
      </w:r>
    </w:p>
    <w:p>
      <w:pPr>
        <w:keepNext w:val="0"/>
        <w:keepLines w:val="0"/>
        <w:widowControl/>
        <w:numPr>
          <w:ilvl w:val="0"/>
          <w:numId w:val="0"/>
        </w:numPr>
        <w:suppressLineNumbers w:val="0"/>
        <w:ind w:firstLine="420" w:firstLineChars="0"/>
        <w:jc w:val="both"/>
        <w:rPr>
          <w:rFonts w:hint="eastAsia" w:ascii="宋体" w:hAnsi="宋体" w:eastAsia="宋体" w:cs="宋体"/>
          <w:sz w:val="18"/>
          <w:szCs w:val="18"/>
          <w:lang w:val="en-US" w:eastAsia="zh-CN"/>
        </w:rPr>
      </w:pPr>
      <w:r>
        <w:rPr>
          <w:rFonts w:hint="eastAsia" w:ascii="宋体" w:hAnsi="宋体" w:eastAsia="宋体" w:cs="宋体"/>
          <w:b/>
          <w:bCs/>
          <w:sz w:val="18"/>
          <w:szCs w:val="18"/>
          <w:lang w:val="en-US" w:eastAsia="zh-CN"/>
        </w:rPr>
        <w:t>每场比赛的比赛时间为 3 分钟</w:t>
      </w:r>
      <w:r>
        <w:rPr>
          <w:rFonts w:hint="eastAsia" w:ascii="宋体" w:hAnsi="宋体" w:eastAsia="宋体" w:cs="宋体"/>
          <w:sz w:val="18"/>
          <w:szCs w:val="18"/>
          <w:lang w:val="en-US" w:eastAsia="zh-CN"/>
        </w:rPr>
        <w:t>。每队代表听裁判的口令同时启动本队机器人（一般裁判会喊：听我口令，3、2、1，开始！），机器人的启动应能一次性快速完成，裁判下达“开始”口令后，会给出结束启动的警告（一般是看到你试图延时启动或者启动后继续操作机器人时，喊：“xx 不要再碰机器人了！”或者“注意，再碰就是重启！”），让选手暂时远离启动过的机器人，让机器人开始自主运行，警告之后，依旧接触本队机器人的，将按照规则 3.6 进行裁判，根据接触次数，判定为本队要重启机器人或者本队提前结束本场比赛。所有机器人一旦启动结束后，不管机器人是否移动，以及展开/分离的结构是否顺利展开/分离，任何人不能再接触机器人，否则，机器人将按照规则 3.6 重启环节裁判。</w:t>
      </w:r>
    </w:p>
    <w:p>
      <w:pPr>
        <w:keepNext w:val="0"/>
        <w:keepLines w:val="0"/>
        <w:widowControl/>
        <w:numPr>
          <w:ilvl w:val="0"/>
          <w:numId w:val="0"/>
        </w:numPr>
        <w:suppressLineNumbers w:val="0"/>
        <w:ind w:firstLine="42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3.5能量共鸣</w:t>
      </w:r>
    </w:p>
    <w:p>
      <w:pPr>
        <w:keepNext w:val="0"/>
        <w:keepLines w:val="0"/>
        <w:widowControl/>
        <w:numPr>
          <w:ilvl w:val="0"/>
          <w:numId w:val="0"/>
        </w:numPr>
        <w:suppressLineNumbers w:val="0"/>
        <w:ind w:firstLine="420" w:firstLineChars="0"/>
        <w:jc w:val="both"/>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某队的 1 分区、2 分区、3 分区各收集了最少 2个有效能量环（一共最少 6 个能量环，不含增益环的效果），这时产生能量共鸣，该队直接获得满分（31分），比赛结束。从比赛开始到产生能量共鸣的时间为所用时间。</w:t>
      </w:r>
    </w:p>
    <w:p>
      <w:pPr>
        <w:keepNext w:val="0"/>
        <w:keepLines w:val="0"/>
        <w:widowControl/>
        <w:numPr>
          <w:ilvl w:val="0"/>
          <w:numId w:val="0"/>
        </w:numPr>
        <w:suppressLineNumbers w:val="0"/>
        <w:ind w:firstLine="42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3.6 提前结束比赛</w:t>
      </w:r>
    </w:p>
    <w:p>
      <w:pPr>
        <w:keepNext w:val="0"/>
        <w:keepLines w:val="0"/>
        <w:widowControl/>
        <w:numPr>
          <w:ilvl w:val="0"/>
          <w:numId w:val="0"/>
        </w:numPr>
        <w:suppressLineNumbers w:val="0"/>
        <w:ind w:firstLine="420" w:firstLineChars="0"/>
        <w:jc w:val="both"/>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如果某队要提前结束本场比赛，请向裁判示意，并在裁判的指示下完全关闭机器人的电源。</w:t>
      </w:r>
    </w:p>
    <w:p>
      <w:pPr>
        <w:keepNext w:val="0"/>
        <w:keepLines w:val="0"/>
        <w:widowControl/>
        <w:numPr>
          <w:ilvl w:val="0"/>
          <w:numId w:val="0"/>
        </w:numPr>
        <w:suppressLineNumbers w:val="0"/>
        <w:ind w:firstLine="420" w:firstLineChars="0"/>
        <w:jc w:val="both"/>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若提前结束本场比赛时，则该队用时为3分钟。</w:t>
      </w:r>
    </w:p>
    <w:p>
      <w:pPr>
        <w:keepNext w:val="0"/>
        <w:keepLines w:val="0"/>
        <w:widowControl/>
        <w:numPr>
          <w:ilvl w:val="0"/>
          <w:numId w:val="0"/>
        </w:numPr>
        <w:suppressLineNumbers w:val="0"/>
        <w:ind w:firstLine="42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3.7 场地摆放和分数</w:t>
      </w:r>
    </w:p>
    <w:p>
      <w:pPr>
        <w:keepNext w:val="0"/>
        <w:keepLines w:val="0"/>
        <w:widowControl/>
        <w:numPr>
          <w:ilvl w:val="0"/>
          <w:numId w:val="0"/>
        </w:numPr>
        <w:suppressLineNumbers w:val="0"/>
        <w:ind w:firstLine="420" w:firstLineChars="0"/>
        <w:jc w:val="both"/>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比赛场地上，一共有 10个黄色的木质圆环表示能量环，1 个绿色木质圆环表示增益环。每 1 个能量环被放置到本队的 1 分区可获得 1 分，上限为 4 分；每 1 个能量环被放置（必须插入杆中）到本队的任何 2 分区可获得 2 分，每个 2 分区上限为 6 分（放置 3 个环）；每 1 个能量环被放置（必须插入杆中）到本队的 3 分区可获得 3 分，上限为 15 分（放置 5 个环）；增益环放置到任何得分区中，如果此区内有最少 1 个有效的能量环，则可使本区得分直接达到上限。比赛开始时，能量环和增益环的初始位置与“收集对抗比赛场地示意图”所示的情况完全一样。</w:t>
      </w:r>
    </w:p>
    <w:p>
      <w:pPr>
        <w:keepNext w:val="0"/>
        <w:keepLines w:val="0"/>
        <w:widowControl/>
        <w:numPr>
          <w:ilvl w:val="0"/>
          <w:numId w:val="0"/>
        </w:numPr>
        <w:suppressLineNumbers w:val="0"/>
        <w:ind w:firstLine="42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3.8 计分</w:t>
      </w:r>
    </w:p>
    <w:p>
      <w:pPr>
        <w:keepNext w:val="0"/>
        <w:keepLines w:val="0"/>
        <w:widowControl/>
        <w:numPr>
          <w:ilvl w:val="0"/>
          <w:numId w:val="0"/>
        </w:numPr>
        <w:suppressLineNumbers w:val="0"/>
        <w:ind w:firstLine="420" w:firstLineChars="0"/>
        <w:jc w:val="both"/>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比赛的时间用尽，队员提出提前结束比赛，或者该队产生能量共鸣，比赛都会结束。比赛结束后，根据比赛结束瞬间各队收集区中的得分计算比分。计分时，对于 1 分区，只有能量环或增益环的投影完全处于本队收集区的颜色面内（不压线、不压边），接触或通过其他环间接接触到收集区的颜色面时，才算“处在”收集区内，在不超过此区能量上限时，即视为有效；对于 2 分和 3 分区，只要能量环或增益环插入杆中（杆穿过孔洞且杆顶端高于孔洞内径最上方的边沿），且不超过本区能量收集上限时，即视为有效。</w:t>
      </w:r>
    </w:p>
    <w:p>
      <w:pPr>
        <w:keepNext w:val="0"/>
        <w:keepLines w:val="0"/>
        <w:widowControl/>
        <w:numPr>
          <w:ilvl w:val="0"/>
          <w:numId w:val="0"/>
        </w:numPr>
        <w:suppressLineNumbers w:val="0"/>
        <w:ind w:firstLine="420" w:firstLineChars="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3.9 其他</w:t>
      </w:r>
    </w:p>
    <w:p>
      <w:pPr>
        <w:keepNext w:val="0"/>
        <w:keepLines w:val="0"/>
        <w:widowControl/>
        <w:numPr>
          <w:ilvl w:val="0"/>
          <w:numId w:val="0"/>
        </w:numPr>
        <w:suppressLineNumbers w:val="0"/>
        <w:ind w:firstLine="420" w:firstLineChars="0"/>
        <w:jc w:val="both"/>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如果比赛过程中出现有违公平公正的情况，裁判有权利终止、重置、重判本场比赛，并将相关情况及时反映给竞赛委员会处理。参赛队员若对此有异议，可向竞赛委员会提出申诉。</w:t>
      </w:r>
    </w:p>
    <w:p>
      <w:pPr>
        <w:keepNext w:val="0"/>
        <w:keepLines w:val="0"/>
        <w:widowControl/>
        <w:numPr>
          <w:ilvl w:val="0"/>
          <w:numId w:val="0"/>
        </w:numPr>
        <w:suppressLineNumbers w:val="0"/>
        <w:ind w:firstLine="420" w:firstLineChars="0"/>
        <w:jc w:val="both"/>
        <w:rPr>
          <w:rFonts w:hint="eastAsia" w:ascii="宋体" w:hAnsi="宋体" w:eastAsia="宋体" w:cs="宋体"/>
          <w:sz w:val="18"/>
          <w:szCs w:val="18"/>
          <w:lang w:val="en-US" w:eastAsia="zh-CN"/>
        </w:rPr>
      </w:pPr>
    </w:p>
    <w:p>
      <w:pPr>
        <w:keepNext w:val="0"/>
        <w:keepLines w:val="0"/>
        <w:widowControl/>
        <w:numPr>
          <w:ilvl w:val="0"/>
          <w:numId w:val="0"/>
        </w:numPr>
        <w:suppressLineNumbers w:val="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4.比赛排名</w:t>
      </w:r>
    </w:p>
    <w:p>
      <w:pPr>
        <w:keepNext w:val="0"/>
        <w:keepLines w:val="0"/>
        <w:widowControl/>
        <w:numPr>
          <w:ilvl w:val="0"/>
          <w:numId w:val="0"/>
        </w:numPr>
        <w:suppressLineNumbers w:val="0"/>
        <w:ind w:firstLine="420" w:firstLineChars="0"/>
        <w:jc w:val="both"/>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以3.5能量共鸣、3.6 提前结束比赛及3.8 计分</w:t>
      </w:r>
      <w:bookmarkStart w:id="0" w:name="_GoBack"/>
      <w:bookmarkEnd w:id="0"/>
      <w:r>
        <w:rPr>
          <w:rFonts w:hint="eastAsia" w:ascii="宋体" w:hAnsi="宋体" w:eastAsia="宋体" w:cs="宋体"/>
          <w:b w:val="0"/>
          <w:bCs w:val="0"/>
          <w:sz w:val="18"/>
          <w:szCs w:val="18"/>
          <w:lang w:val="en-US" w:eastAsia="zh-CN"/>
        </w:rPr>
        <w:t>得出每队的比赛所用时间和所得分数，并以以下方式排名：</w:t>
      </w:r>
    </w:p>
    <w:p>
      <w:pPr>
        <w:keepNext w:val="0"/>
        <w:keepLines w:val="0"/>
        <w:widowControl/>
        <w:numPr>
          <w:ilvl w:val="0"/>
          <w:numId w:val="0"/>
        </w:numPr>
        <w:suppressLineNumbers w:val="0"/>
        <w:ind w:firstLine="420" w:firstLineChars="0"/>
        <w:jc w:val="center"/>
        <w:rPr>
          <w:rFonts w:hint="default" w:ascii="宋体" w:hAnsi="宋体" w:eastAsia="宋体" w:cs="宋体"/>
          <w:b/>
          <w:bCs/>
          <w:sz w:val="18"/>
          <w:szCs w:val="18"/>
          <w:lang w:val="en-US" w:eastAsia="zh-CN"/>
        </w:rPr>
      </w:pPr>
      <w:r>
        <w:rPr>
          <w:rFonts w:hint="eastAsia" w:ascii="宋体" w:hAnsi="宋体" w:eastAsia="宋体" w:cs="宋体"/>
          <w:b/>
          <w:bCs/>
          <w:sz w:val="18"/>
          <w:szCs w:val="18"/>
          <w:lang w:val="en-US" w:eastAsia="zh-CN"/>
        </w:rPr>
        <w:t>以比赛得分降序排名，相同的分则所用时间短者排名靠前</w:t>
      </w:r>
    </w:p>
    <w:p>
      <w:pPr>
        <w:keepNext w:val="0"/>
        <w:keepLines w:val="0"/>
        <w:widowControl/>
        <w:numPr>
          <w:ilvl w:val="0"/>
          <w:numId w:val="0"/>
        </w:numPr>
        <w:suppressLineNumbers w:val="0"/>
        <w:jc w:val="both"/>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5.参赛要求</w:t>
      </w:r>
    </w:p>
    <w:p>
      <w:pPr>
        <w:keepNext w:val="0"/>
        <w:keepLines w:val="0"/>
        <w:widowControl/>
        <w:numPr>
          <w:ilvl w:val="0"/>
          <w:numId w:val="0"/>
        </w:numPr>
        <w:suppressLineNumbers w:val="0"/>
        <w:ind w:firstLine="420" w:firstLineChars="0"/>
        <w:jc w:val="both"/>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由浙江省同一所大学的在校大学生组成的代表队，且每队的成员人数最多为 3 名，并制作</w:t>
      </w:r>
      <w:r>
        <w:rPr>
          <w:rFonts w:hint="eastAsia" w:ascii="宋体" w:hAnsi="宋体" w:eastAsia="宋体" w:cs="宋体"/>
          <w:b/>
          <w:bCs/>
          <w:sz w:val="18"/>
          <w:szCs w:val="18"/>
          <w:lang w:val="en-US" w:eastAsia="zh-CN"/>
        </w:rPr>
        <w:t>一台</w:t>
      </w:r>
      <w:r>
        <w:rPr>
          <w:rFonts w:hint="eastAsia" w:ascii="宋体" w:hAnsi="宋体" w:eastAsia="宋体" w:cs="宋体"/>
          <w:sz w:val="18"/>
          <w:szCs w:val="18"/>
          <w:lang w:val="en-US" w:eastAsia="zh-CN"/>
        </w:rPr>
        <w:t>自主机器人才能参赛。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F76703"/>
    <w:multiLevelType w:val="singleLevel"/>
    <w:tmpl w:val="9BF76703"/>
    <w:lvl w:ilvl="0" w:tentative="0">
      <w:start w:val="5"/>
      <w:numFmt w:val="decimal"/>
      <w:suff w:val="space"/>
      <w:lvlText w:val="%1."/>
      <w:lvlJc w:val="left"/>
    </w:lvl>
  </w:abstractNum>
  <w:abstractNum w:abstractNumId="1">
    <w:nsid w:val="F34ED588"/>
    <w:multiLevelType w:val="singleLevel"/>
    <w:tmpl w:val="F34ED588"/>
    <w:lvl w:ilvl="0" w:tentative="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xZWExN2VjNWI1NmY2ZjdhM2E5YWJkNDIyZWI0NmMifQ=="/>
  </w:docVars>
  <w:rsids>
    <w:rsidRoot w:val="00000000"/>
    <w:rsid w:val="029A778E"/>
    <w:rsid w:val="03000077"/>
    <w:rsid w:val="04E8141C"/>
    <w:rsid w:val="067A137F"/>
    <w:rsid w:val="08D80161"/>
    <w:rsid w:val="09B57E4C"/>
    <w:rsid w:val="13430194"/>
    <w:rsid w:val="13FD37D1"/>
    <w:rsid w:val="155D7107"/>
    <w:rsid w:val="17BE71E6"/>
    <w:rsid w:val="190A076C"/>
    <w:rsid w:val="191C0A7A"/>
    <w:rsid w:val="1ABC0630"/>
    <w:rsid w:val="1CF45B47"/>
    <w:rsid w:val="1F2B5BA0"/>
    <w:rsid w:val="1F8C6B95"/>
    <w:rsid w:val="1FC76513"/>
    <w:rsid w:val="262C2580"/>
    <w:rsid w:val="29DD575C"/>
    <w:rsid w:val="2BDA646D"/>
    <w:rsid w:val="2EC43EFC"/>
    <w:rsid w:val="30994B60"/>
    <w:rsid w:val="31C418C9"/>
    <w:rsid w:val="323C0053"/>
    <w:rsid w:val="33DA4E53"/>
    <w:rsid w:val="37BE1F22"/>
    <w:rsid w:val="413A0B2D"/>
    <w:rsid w:val="42BF3C02"/>
    <w:rsid w:val="4450472E"/>
    <w:rsid w:val="475C2B41"/>
    <w:rsid w:val="4787717A"/>
    <w:rsid w:val="48816A41"/>
    <w:rsid w:val="49DC4F79"/>
    <w:rsid w:val="4AD377AA"/>
    <w:rsid w:val="4CD9234A"/>
    <w:rsid w:val="4F161D29"/>
    <w:rsid w:val="4FB77AD0"/>
    <w:rsid w:val="4FEF58D5"/>
    <w:rsid w:val="51AE6E5E"/>
    <w:rsid w:val="5628468F"/>
    <w:rsid w:val="5D9D32F7"/>
    <w:rsid w:val="5E3F60BB"/>
    <w:rsid w:val="63DD447D"/>
    <w:rsid w:val="6A716A28"/>
    <w:rsid w:val="6CC12A6A"/>
    <w:rsid w:val="6E183644"/>
    <w:rsid w:val="6EBD2BED"/>
    <w:rsid w:val="71FF78DA"/>
    <w:rsid w:val="740C114E"/>
    <w:rsid w:val="756730D3"/>
    <w:rsid w:val="762E3C8D"/>
    <w:rsid w:val="77344174"/>
    <w:rsid w:val="79381E24"/>
    <w:rsid w:val="79B435F8"/>
    <w:rsid w:val="7A9E3851"/>
    <w:rsid w:val="7D1860FC"/>
    <w:rsid w:val="7F9F66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7193</Words>
  <Characters>7383</Characters>
  <Lines>0</Lines>
  <Paragraphs>0</Paragraphs>
  <TotalTime>1</TotalTime>
  <ScaleCrop>false</ScaleCrop>
  <LinksUpToDate>false</LinksUpToDate>
  <CharactersWithSpaces>7671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2023-02-10T02:48:00Z</dcterms:created>
  <dc:creator>ChenLiangzhi</dc:creator>
  <cp:lastModifiedBy>牵走陈小狗</cp:lastModifiedBy>
  <dcterms:modified xsi:type="dcterms:W3CDTF">2023-02-26T12:44:38Z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91E298E8F4BD4565843AAA28EC85148D</vt:lpwstr>
  </property>
</Properties>
</file>