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434CEF" w14:textId="77777777" w:rsidR="007247E3" w:rsidRPr="007247E3" w:rsidRDefault="007247E3" w:rsidP="007247E3">
      <w:pPr>
        <w:snapToGrid/>
        <w:spacing w:line="276" w:lineRule="auto"/>
        <w:jc w:val="center"/>
        <w:rPr>
          <w:rFonts w:ascii="方正小标宋简体" w:eastAsia="方正小标宋简体" w:hAnsi="Calibri" w:cstheme="minorBidi"/>
          <w:sz w:val="36"/>
          <w:szCs w:val="36"/>
        </w:rPr>
      </w:pPr>
      <w:r w:rsidRPr="007247E3">
        <w:rPr>
          <w:rFonts w:ascii="方正小标宋简体" w:eastAsia="方正小标宋简体" w:hAnsi="Calibri" w:cstheme="minorBidi" w:hint="eastAsia"/>
          <w:sz w:val="36"/>
          <w:szCs w:val="36"/>
        </w:rPr>
        <w:t>首届高校ICT产教融合创新大赛企业命题</w:t>
      </w:r>
    </w:p>
    <w:p w14:paraId="71EB4743" w14:textId="540E1F48" w:rsidR="007247E3" w:rsidRPr="007247E3" w:rsidRDefault="007247E3" w:rsidP="007247E3">
      <w:pPr>
        <w:snapToGrid/>
        <w:spacing w:line="276" w:lineRule="auto"/>
        <w:rPr>
          <w:rFonts w:ascii="方正小标宋简体" w:eastAsia="方正小标宋简体" w:hAnsi="Calibri" w:cstheme="minorBidi"/>
        </w:rPr>
      </w:pPr>
      <w:r w:rsidRPr="007247E3">
        <w:rPr>
          <w:rFonts w:ascii="方正小标宋简体" w:eastAsia="方正小标宋简体" w:hAnsi="Calibri" w:cstheme="minorBidi" w:hint="eastAsia"/>
        </w:rPr>
        <w:t>命题编号：</w:t>
      </w:r>
      <w:r>
        <w:rPr>
          <w:rFonts w:ascii="方正小标宋简体" w:eastAsia="方正小标宋简体" w:hAnsi="Calibri" w:cstheme="minorBidi" w:hint="eastAsia"/>
        </w:rPr>
        <w:t>27</w:t>
      </w:r>
    </w:p>
    <w:tbl>
      <w:tblPr>
        <w:tblStyle w:val="aa"/>
        <w:tblW w:w="0" w:type="auto"/>
        <w:tblLook w:val="04A0" w:firstRow="1" w:lastRow="0" w:firstColumn="1" w:lastColumn="0" w:noHBand="0" w:noVBand="1"/>
      </w:tblPr>
      <w:tblGrid>
        <w:gridCol w:w="1555"/>
        <w:gridCol w:w="1417"/>
        <w:gridCol w:w="5324"/>
      </w:tblGrid>
      <w:tr w:rsidR="00E6014C" w14:paraId="0B553AB9" w14:textId="77777777" w:rsidTr="0073275D">
        <w:trPr>
          <w:trHeight w:val="20"/>
        </w:trPr>
        <w:tc>
          <w:tcPr>
            <w:tcW w:w="1555" w:type="dxa"/>
            <w:vAlign w:val="center"/>
          </w:tcPr>
          <w:p w14:paraId="76789F85" w14:textId="77777777" w:rsidR="00E6014C" w:rsidRDefault="00DE3DC8" w:rsidP="007247E3">
            <w:r>
              <w:rPr>
                <w:rFonts w:hint="eastAsia"/>
              </w:rPr>
              <w:t>命题企业</w:t>
            </w:r>
          </w:p>
        </w:tc>
        <w:tc>
          <w:tcPr>
            <w:tcW w:w="6741" w:type="dxa"/>
            <w:gridSpan w:val="2"/>
            <w:vAlign w:val="center"/>
          </w:tcPr>
          <w:p w14:paraId="0C8CA9A8" w14:textId="77777777" w:rsidR="00E6014C" w:rsidRPr="00652FFB" w:rsidRDefault="00D44843" w:rsidP="007247E3">
            <w:r w:rsidRPr="00652FFB">
              <w:rPr>
                <w:rFonts w:hint="eastAsia"/>
              </w:rPr>
              <w:t>华为</w:t>
            </w:r>
          </w:p>
        </w:tc>
      </w:tr>
      <w:tr w:rsidR="00E6014C" w14:paraId="087E5BB4" w14:textId="77777777" w:rsidTr="0073275D">
        <w:trPr>
          <w:trHeight w:val="20"/>
        </w:trPr>
        <w:tc>
          <w:tcPr>
            <w:tcW w:w="1555" w:type="dxa"/>
            <w:vAlign w:val="center"/>
          </w:tcPr>
          <w:p w14:paraId="16B036B3" w14:textId="77777777" w:rsidR="00E6014C" w:rsidRDefault="00DE3DC8" w:rsidP="007247E3">
            <w:bookmarkStart w:id="0" w:name="_Hlk167201149"/>
            <w:r>
              <w:rPr>
                <w:rFonts w:hint="eastAsia"/>
              </w:rPr>
              <w:t>命题题目</w:t>
            </w:r>
          </w:p>
        </w:tc>
        <w:tc>
          <w:tcPr>
            <w:tcW w:w="6741" w:type="dxa"/>
            <w:gridSpan w:val="2"/>
            <w:vAlign w:val="center"/>
          </w:tcPr>
          <w:p w14:paraId="012F23D5" w14:textId="77777777" w:rsidR="00E6014C" w:rsidRPr="00652FFB" w:rsidRDefault="00D44843" w:rsidP="007247E3">
            <w:r w:rsidRPr="00652FFB">
              <w:rPr>
                <w:rFonts w:hint="eastAsia"/>
              </w:rPr>
              <w:t>面向计算机容器</w:t>
            </w:r>
            <w:proofErr w:type="gramStart"/>
            <w:r w:rsidRPr="00652FFB">
              <w:rPr>
                <w:rFonts w:hint="eastAsia"/>
              </w:rPr>
              <w:t>可信启动</w:t>
            </w:r>
            <w:proofErr w:type="gramEnd"/>
            <w:r w:rsidRPr="00652FFB">
              <w:rPr>
                <w:rFonts w:hint="eastAsia"/>
              </w:rPr>
              <w:t>的远程证明方法</w:t>
            </w:r>
          </w:p>
        </w:tc>
      </w:tr>
      <w:bookmarkEnd w:id="0"/>
      <w:tr w:rsidR="00E6014C" w14:paraId="3921F04C" w14:textId="77777777" w:rsidTr="0073275D">
        <w:trPr>
          <w:trHeight w:val="20"/>
        </w:trPr>
        <w:tc>
          <w:tcPr>
            <w:tcW w:w="1555" w:type="dxa"/>
            <w:vMerge w:val="restart"/>
            <w:vAlign w:val="center"/>
          </w:tcPr>
          <w:p w14:paraId="7290BA24" w14:textId="77777777" w:rsidR="00E6014C" w:rsidRPr="00D44843" w:rsidRDefault="00DE3DC8" w:rsidP="007247E3">
            <w:pPr>
              <w:rPr>
                <w:rFonts w:ascii="微软雅黑" w:eastAsia="微软雅黑" w:hAnsi="微软雅黑" w:cs="微软雅黑"/>
              </w:rPr>
            </w:pPr>
            <w:r w:rsidRPr="004C5A2F">
              <w:rPr>
                <w:rFonts w:hint="eastAsia"/>
              </w:rPr>
              <w:t>命题方向</w:t>
            </w:r>
          </w:p>
        </w:tc>
        <w:tc>
          <w:tcPr>
            <w:tcW w:w="6741" w:type="dxa"/>
            <w:gridSpan w:val="2"/>
          </w:tcPr>
          <w:p w14:paraId="3541F3CC" w14:textId="77777777" w:rsidR="00E6014C" w:rsidRPr="00652FFB" w:rsidRDefault="00DE3DC8" w:rsidP="007247E3">
            <w:r w:rsidRPr="00652FFB">
              <w:rPr>
                <w:rFonts w:hint="eastAsia"/>
              </w:rPr>
              <w:t>（请填写命题应用的场景领域）</w:t>
            </w:r>
          </w:p>
          <w:p w14:paraId="3E32ACF4" w14:textId="414A3731" w:rsidR="00E6014C" w:rsidRPr="00652FFB" w:rsidRDefault="00D44843" w:rsidP="007247E3">
            <w:r w:rsidRPr="00652FFB">
              <w:rPr>
                <w:rFonts w:hint="eastAsia"/>
              </w:rPr>
              <w:t>网络虚拟化与可信网络技术</w:t>
            </w:r>
            <w:r w:rsidR="00C122BD" w:rsidRPr="00652FFB">
              <w:rPr>
                <w:rFonts w:hint="eastAsia"/>
              </w:rPr>
              <w:t>，适用于对系统安全、数据完整性和可信度有高度要求的场景，例如：云环境</w:t>
            </w:r>
            <w:r w:rsidR="00F1635A" w:rsidRPr="00652FFB">
              <w:rPr>
                <w:rFonts w:hint="eastAsia"/>
              </w:rPr>
              <w:t>、金融和医疗、嵌入式和</w:t>
            </w:r>
            <w:proofErr w:type="gramStart"/>
            <w:r w:rsidR="00F1635A" w:rsidRPr="00652FFB">
              <w:rPr>
                <w:rFonts w:hint="eastAsia"/>
              </w:rPr>
              <w:t>物联网</w:t>
            </w:r>
            <w:proofErr w:type="gramEnd"/>
            <w:r w:rsidR="00F1635A" w:rsidRPr="00652FFB">
              <w:rPr>
                <w:rFonts w:hint="eastAsia"/>
              </w:rPr>
              <w:t>设备等</w:t>
            </w:r>
          </w:p>
        </w:tc>
      </w:tr>
      <w:tr w:rsidR="00E6014C" w14:paraId="61EB2B74" w14:textId="77777777" w:rsidTr="0073275D">
        <w:trPr>
          <w:trHeight w:val="20"/>
        </w:trPr>
        <w:tc>
          <w:tcPr>
            <w:tcW w:w="1555" w:type="dxa"/>
            <w:vMerge/>
            <w:vAlign w:val="center"/>
          </w:tcPr>
          <w:p w14:paraId="660C5D69" w14:textId="77777777" w:rsidR="00E6014C" w:rsidRPr="00D44843" w:rsidRDefault="00E6014C" w:rsidP="007247E3"/>
        </w:tc>
        <w:tc>
          <w:tcPr>
            <w:tcW w:w="6741" w:type="dxa"/>
            <w:gridSpan w:val="2"/>
          </w:tcPr>
          <w:p w14:paraId="03688221" w14:textId="77777777" w:rsidR="00E6014C" w:rsidRPr="00652FFB" w:rsidRDefault="00DE3DC8" w:rsidP="007247E3">
            <w:r w:rsidRPr="00652FFB">
              <w:rPr>
                <w:rFonts w:hint="eastAsia"/>
              </w:rPr>
              <w:t>（请填写命题涉及的技术方向）</w:t>
            </w:r>
          </w:p>
          <w:p w14:paraId="5B54DE90" w14:textId="77777777" w:rsidR="00D44843" w:rsidRPr="00652FFB" w:rsidRDefault="00D44843" w:rsidP="007247E3">
            <w:r w:rsidRPr="00652FFB">
              <w:rPr>
                <w:rFonts w:hint="eastAsia"/>
              </w:rPr>
              <w:t>虚拟化，计算机容器，远程证明</w:t>
            </w:r>
          </w:p>
        </w:tc>
      </w:tr>
      <w:tr w:rsidR="00E6014C" w14:paraId="285C6BFC" w14:textId="77777777" w:rsidTr="0073275D">
        <w:trPr>
          <w:trHeight w:val="20"/>
        </w:trPr>
        <w:tc>
          <w:tcPr>
            <w:tcW w:w="1555" w:type="dxa"/>
            <w:vMerge w:val="restart"/>
            <w:vAlign w:val="center"/>
          </w:tcPr>
          <w:p w14:paraId="34878904" w14:textId="77777777" w:rsidR="00E6014C" w:rsidRDefault="00DE3DC8" w:rsidP="007247E3">
            <w:r>
              <w:rPr>
                <w:rFonts w:hint="eastAsia"/>
              </w:rPr>
              <w:t>命题内容</w:t>
            </w:r>
          </w:p>
        </w:tc>
        <w:tc>
          <w:tcPr>
            <w:tcW w:w="1417" w:type="dxa"/>
            <w:vAlign w:val="center"/>
          </w:tcPr>
          <w:p w14:paraId="4EA0202A" w14:textId="77777777" w:rsidR="00E6014C" w:rsidRPr="00652FFB" w:rsidRDefault="00DE3DC8" w:rsidP="007247E3">
            <w:r w:rsidRPr="00652FFB">
              <w:rPr>
                <w:rFonts w:hint="eastAsia"/>
              </w:rPr>
              <w:t>命题背景</w:t>
            </w:r>
          </w:p>
        </w:tc>
        <w:tc>
          <w:tcPr>
            <w:tcW w:w="5324" w:type="dxa"/>
          </w:tcPr>
          <w:p w14:paraId="6FFED08F" w14:textId="77777777" w:rsidR="00E6014C" w:rsidRPr="00652FFB" w:rsidRDefault="00D44843" w:rsidP="007247E3">
            <w:r w:rsidRPr="00652FFB">
              <w:rPr>
                <w:rFonts w:hint="eastAsia"/>
              </w:rPr>
              <w:t>网络基础</w:t>
            </w:r>
            <w:proofErr w:type="gramStart"/>
            <w:r w:rsidRPr="00652FFB">
              <w:rPr>
                <w:rFonts w:hint="eastAsia"/>
              </w:rPr>
              <w:t>设施云化和</w:t>
            </w:r>
            <w:proofErr w:type="gramEnd"/>
            <w:r w:rsidRPr="00652FFB">
              <w:rPr>
                <w:rFonts w:hint="eastAsia"/>
              </w:rPr>
              <w:t>虚拟化是</w:t>
            </w:r>
            <w:r w:rsidRPr="00652FFB">
              <w:rPr>
                <w:rFonts w:hint="eastAsia"/>
              </w:rPr>
              <w:t>5</w:t>
            </w:r>
            <w:r w:rsidRPr="00652FFB">
              <w:t>G/6G</w:t>
            </w:r>
            <w:r w:rsidRPr="00652FFB">
              <w:rPr>
                <w:rFonts w:hint="eastAsia"/>
              </w:rPr>
              <w:t>网络的基础，</w:t>
            </w:r>
            <w:proofErr w:type="gramStart"/>
            <w:r w:rsidRPr="00652FFB">
              <w:rPr>
                <w:rFonts w:hint="eastAsia"/>
              </w:rPr>
              <w:t>云网分属</w:t>
            </w:r>
            <w:proofErr w:type="gramEnd"/>
            <w:r w:rsidRPr="00652FFB">
              <w:rPr>
                <w:rFonts w:hint="eastAsia"/>
              </w:rPr>
              <w:t>不同的厂商是未来网络的演进趋势之一，</w:t>
            </w:r>
            <w:r w:rsidRPr="00652FFB">
              <w:rPr>
                <w:rFonts w:hint="eastAsia"/>
              </w:rPr>
              <w:t xml:space="preserve"> </w:t>
            </w:r>
            <w:r w:rsidRPr="00652FFB">
              <w:rPr>
                <w:rFonts w:hint="eastAsia"/>
              </w:rPr>
              <w:t>虚拟机和容器技术是主要的网络虚拟化技术，远程证明技术是构建可信网络基础实施的基石</w:t>
            </w:r>
            <w:r w:rsidRPr="00652FFB">
              <w:rPr>
                <w:rFonts w:hint="eastAsia"/>
              </w:rPr>
              <w:t>,</w:t>
            </w:r>
            <w:r w:rsidRPr="00652FFB">
              <w:t xml:space="preserve"> </w:t>
            </w:r>
            <w:r w:rsidRPr="00652FFB">
              <w:rPr>
                <w:rFonts w:hint="eastAsia"/>
              </w:rPr>
              <w:t>如何通过远程证明技术保证虚拟机和容器可信是运营商面临的重大挑战。</w:t>
            </w:r>
          </w:p>
          <w:p w14:paraId="1D93EDF8" w14:textId="5CE30634" w:rsidR="00D44843" w:rsidRPr="00652FFB" w:rsidRDefault="00D44843" w:rsidP="007247E3">
            <w:pPr>
              <w:rPr>
                <w:shd w:val="clear" w:color="auto" w:fill="FFFFFF"/>
              </w:rPr>
            </w:pPr>
          </w:p>
          <w:p w14:paraId="52DAAB3C" w14:textId="77777777" w:rsidR="00616764" w:rsidRPr="00652FFB" w:rsidRDefault="00B62976" w:rsidP="007247E3">
            <w:r w:rsidRPr="00652FFB">
              <w:rPr>
                <w:rFonts w:hint="eastAsia"/>
              </w:rPr>
              <w:t>可信计算在解决</w:t>
            </w:r>
            <w:proofErr w:type="gramStart"/>
            <w:r w:rsidRPr="00652FFB">
              <w:rPr>
                <w:rFonts w:hint="eastAsia"/>
              </w:rPr>
              <w:t>云环境</w:t>
            </w:r>
            <w:proofErr w:type="gramEnd"/>
            <w:r w:rsidRPr="00652FFB">
              <w:rPr>
                <w:rFonts w:hint="eastAsia"/>
              </w:rPr>
              <w:t>的安全性问题中发挥了重要作用。</w:t>
            </w:r>
            <w:r w:rsidRPr="00652FFB">
              <w:rPr>
                <w:rFonts w:hint="eastAsia"/>
              </w:rPr>
              <w:t>TCG(Trusted Computing Group)</w:t>
            </w:r>
            <w:r w:rsidRPr="00652FFB">
              <w:rPr>
                <w:rFonts w:hint="eastAsia"/>
              </w:rPr>
              <w:t>提出的解决方案是以</w:t>
            </w:r>
            <w:r w:rsidRPr="00652FFB">
              <w:rPr>
                <w:rFonts w:hint="eastAsia"/>
              </w:rPr>
              <w:t>TPM(trusted platform module)</w:t>
            </w:r>
            <w:r w:rsidRPr="00652FFB">
              <w:rPr>
                <w:rFonts w:hint="eastAsia"/>
              </w:rPr>
              <w:t>为可信根，作为外挂部件被动调用无法进行主动度量。</w:t>
            </w:r>
            <w:r w:rsidR="00D44843" w:rsidRPr="00652FFB">
              <w:t>TCG</w:t>
            </w:r>
            <w:r w:rsidR="00D44843" w:rsidRPr="00652FFB">
              <w:rPr>
                <w:rFonts w:hint="eastAsia"/>
              </w:rPr>
              <w:t>标准组织制定基于</w:t>
            </w:r>
            <w:r w:rsidR="00D44843" w:rsidRPr="00652FFB">
              <w:rPr>
                <w:rFonts w:hint="eastAsia"/>
              </w:rPr>
              <w:t>T</w:t>
            </w:r>
            <w:r w:rsidR="00D44843" w:rsidRPr="00652FFB">
              <w:t>PM</w:t>
            </w:r>
            <w:r w:rsidR="00D44843" w:rsidRPr="00652FFB">
              <w:rPr>
                <w:rFonts w:hint="eastAsia"/>
              </w:rPr>
              <w:t>和远程证明的</w:t>
            </w:r>
            <w:proofErr w:type="gramStart"/>
            <w:r w:rsidR="00D44843" w:rsidRPr="00652FFB">
              <w:rPr>
                <w:rFonts w:hint="eastAsia"/>
              </w:rPr>
              <w:t>可信启动</w:t>
            </w:r>
            <w:proofErr w:type="gramEnd"/>
            <w:r w:rsidR="00D44843" w:rsidRPr="00652FFB">
              <w:rPr>
                <w:rFonts w:hint="eastAsia"/>
              </w:rPr>
              <w:t>方法，为了解决虚拟机的远程证明挑战，</w:t>
            </w:r>
            <w:r w:rsidR="00D44843" w:rsidRPr="00652FFB">
              <w:rPr>
                <w:rFonts w:hint="eastAsia"/>
              </w:rPr>
              <w:t>T</w:t>
            </w:r>
            <w:r w:rsidR="00D44843" w:rsidRPr="00652FFB">
              <w:t>CG</w:t>
            </w:r>
            <w:r w:rsidR="00D44843" w:rsidRPr="00652FFB">
              <w:rPr>
                <w:rFonts w:hint="eastAsia"/>
              </w:rPr>
              <w:t>正在研究虚拟机远程证明方案。</w:t>
            </w:r>
          </w:p>
          <w:p w14:paraId="1963C0C2" w14:textId="18ACEF35" w:rsidR="00616764" w:rsidRPr="00652FFB" w:rsidRDefault="00616764" w:rsidP="007247E3">
            <w:r w:rsidRPr="00652FFB">
              <w:rPr>
                <w:rFonts w:hint="eastAsia"/>
              </w:rPr>
              <w:t>然而，有时候，对</w:t>
            </w:r>
            <w:r w:rsidRPr="00652FFB">
              <w:rPr>
                <w:rFonts w:hint="eastAsia"/>
              </w:rPr>
              <w:t>TPM</w:t>
            </w:r>
            <w:r w:rsidRPr="00652FFB">
              <w:rPr>
                <w:rFonts w:hint="eastAsia"/>
              </w:rPr>
              <w:t>的依赖可能会引入一些限制，如依赖硬件支持、复杂的部署和管理等。因此，需要一种对底层的硬件</w:t>
            </w:r>
            <w:r w:rsidRPr="00652FFB">
              <w:rPr>
                <w:rFonts w:hint="eastAsia"/>
              </w:rPr>
              <w:t>T</w:t>
            </w:r>
            <w:r w:rsidRPr="00652FFB">
              <w:t>PM</w:t>
            </w:r>
            <w:r w:rsidRPr="00652FFB">
              <w:rPr>
                <w:rFonts w:hint="eastAsia"/>
              </w:rPr>
              <w:t>的依赖性低的远程证明方案，可以通过软件和增硬件抽象层等方式。</w:t>
            </w:r>
          </w:p>
          <w:p w14:paraId="3D618285" w14:textId="77777777" w:rsidR="00B91AD5" w:rsidRPr="00652FFB" w:rsidRDefault="00B91AD5" w:rsidP="007247E3"/>
          <w:p w14:paraId="4F1D0BD9" w14:textId="07C48660" w:rsidR="00616764" w:rsidRPr="00652FFB" w:rsidRDefault="00616764" w:rsidP="007247E3">
            <w:r w:rsidRPr="00652FFB">
              <w:rPr>
                <w:rFonts w:hint="eastAsia"/>
              </w:rPr>
              <w:t>同时，</w:t>
            </w:r>
            <w:r w:rsidR="00D44843" w:rsidRPr="00652FFB">
              <w:rPr>
                <w:rFonts w:hint="eastAsia"/>
              </w:rPr>
              <w:t>由于虚拟机需要占用更多的系统资源，轻量级的容器正在成为虚拟</w:t>
            </w:r>
            <w:proofErr w:type="gramStart"/>
            <w:r w:rsidR="00D44843" w:rsidRPr="00652FFB">
              <w:rPr>
                <w:rFonts w:hint="eastAsia"/>
              </w:rPr>
              <w:t>化网元部署</w:t>
            </w:r>
            <w:proofErr w:type="gramEnd"/>
            <w:r w:rsidR="00D44843" w:rsidRPr="00652FFB">
              <w:rPr>
                <w:rFonts w:hint="eastAsia"/>
              </w:rPr>
              <w:t>的载体，但是容器的远程证明方法还有待进一步研究</w:t>
            </w:r>
            <w:r w:rsidR="00665ABB" w:rsidRPr="00652FFB">
              <w:rPr>
                <w:rFonts w:hint="eastAsia"/>
              </w:rPr>
              <w:t>。</w:t>
            </w:r>
          </w:p>
        </w:tc>
      </w:tr>
      <w:tr w:rsidR="00E6014C" w14:paraId="37CB4B8B" w14:textId="77777777" w:rsidTr="0073275D">
        <w:trPr>
          <w:trHeight w:val="20"/>
        </w:trPr>
        <w:tc>
          <w:tcPr>
            <w:tcW w:w="1555" w:type="dxa"/>
            <w:vMerge/>
            <w:vAlign w:val="center"/>
          </w:tcPr>
          <w:p w14:paraId="7CA76874" w14:textId="77777777" w:rsidR="00E6014C" w:rsidRDefault="00E6014C" w:rsidP="007247E3"/>
        </w:tc>
        <w:tc>
          <w:tcPr>
            <w:tcW w:w="1417" w:type="dxa"/>
            <w:vAlign w:val="center"/>
          </w:tcPr>
          <w:p w14:paraId="3D5F160A" w14:textId="77777777" w:rsidR="00E6014C" w:rsidRPr="00652FFB" w:rsidRDefault="00DE3DC8" w:rsidP="007247E3">
            <w:r w:rsidRPr="00652FFB">
              <w:rPr>
                <w:rFonts w:hint="eastAsia"/>
              </w:rPr>
              <w:t>研究目标</w:t>
            </w:r>
          </w:p>
        </w:tc>
        <w:tc>
          <w:tcPr>
            <w:tcW w:w="5324" w:type="dxa"/>
          </w:tcPr>
          <w:p w14:paraId="03DD46B1" w14:textId="77777777" w:rsidR="00E6014C" w:rsidRPr="00652FFB" w:rsidRDefault="00D44843" w:rsidP="007247E3">
            <w:pPr>
              <w:pStyle w:val="ac"/>
              <w:numPr>
                <w:ilvl w:val="0"/>
                <w:numId w:val="1"/>
              </w:numPr>
            </w:pPr>
            <w:r w:rsidRPr="00652FFB">
              <w:rPr>
                <w:rFonts w:hint="eastAsia"/>
              </w:rPr>
              <w:t>比较虚拟机与容器在</w:t>
            </w:r>
            <w:proofErr w:type="gramStart"/>
            <w:r w:rsidRPr="00652FFB">
              <w:rPr>
                <w:rFonts w:hint="eastAsia"/>
              </w:rPr>
              <w:t>可信启动</w:t>
            </w:r>
            <w:proofErr w:type="gramEnd"/>
            <w:r w:rsidRPr="00652FFB">
              <w:rPr>
                <w:rFonts w:hint="eastAsia"/>
              </w:rPr>
              <w:t>方面的差异</w:t>
            </w:r>
          </w:p>
          <w:p w14:paraId="5AEDAB99" w14:textId="77777777" w:rsidR="00D44843" w:rsidRPr="00652FFB" w:rsidRDefault="00D44843" w:rsidP="007247E3">
            <w:pPr>
              <w:pStyle w:val="ac"/>
              <w:numPr>
                <w:ilvl w:val="0"/>
                <w:numId w:val="1"/>
              </w:numPr>
            </w:pPr>
            <w:r w:rsidRPr="00652FFB">
              <w:rPr>
                <w:rFonts w:hint="eastAsia"/>
              </w:rPr>
              <w:t>根据</w:t>
            </w:r>
            <w:r w:rsidRPr="00652FFB">
              <w:rPr>
                <w:rFonts w:hint="eastAsia"/>
              </w:rPr>
              <w:t>T</w:t>
            </w:r>
            <w:r w:rsidRPr="00652FFB">
              <w:t>CG</w:t>
            </w:r>
            <w:r w:rsidRPr="00652FFB">
              <w:rPr>
                <w:rFonts w:hint="eastAsia"/>
              </w:rPr>
              <w:t>标准组织制定的虚拟机远程证明规范，研究并设计容器的远程证明方案，并支持容器的迁移</w:t>
            </w:r>
          </w:p>
          <w:p w14:paraId="6ADCE85E" w14:textId="5BA5B77F" w:rsidR="00D44843" w:rsidRPr="00652FFB" w:rsidRDefault="00FD1BD2" w:rsidP="007247E3">
            <w:pPr>
              <w:pStyle w:val="ac"/>
              <w:numPr>
                <w:ilvl w:val="0"/>
                <w:numId w:val="1"/>
              </w:numPr>
            </w:pPr>
            <w:proofErr w:type="gramStart"/>
            <w:r w:rsidRPr="00652FFB">
              <w:rPr>
                <w:rFonts w:hint="eastAsia"/>
              </w:rPr>
              <w:t>可信启动</w:t>
            </w:r>
            <w:proofErr w:type="gramEnd"/>
            <w:r w:rsidRPr="00652FFB">
              <w:rPr>
                <w:rFonts w:hint="eastAsia"/>
              </w:rPr>
              <w:t>方案</w:t>
            </w:r>
            <w:r w:rsidR="00D44843" w:rsidRPr="00652FFB">
              <w:rPr>
                <w:rFonts w:hint="eastAsia"/>
              </w:rPr>
              <w:t>对底层的硬件</w:t>
            </w:r>
            <w:r w:rsidR="00D44843" w:rsidRPr="00652FFB">
              <w:rPr>
                <w:rFonts w:hint="eastAsia"/>
              </w:rPr>
              <w:t>T</w:t>
            </w:r>
            <w:r w:rsidR="00D44843" w:rsidRPr="00652FFB">
              <w:t>PM</w:t>
            </w:r>
            <w:r w:rsidR="00D44843" w:rsidRPr="00652FFB">
              <w:rPr>
                <w:rFonts w:hint="eastAsia"/>
              </w:rPr>
              <w:t>的依赖性低</w:t>
            </w:r>
          </w:p>
        </w:tc>
      </w:tr>
      <w:tr w:rsidR="00E6014C" w14:paraId="6AC1F843" w14:textId="77777777" w:rsidTr="0073275D">
        <w:trPr>
          <w:trHeight w:val="20"/>
        </w:trPr>
        <w:tc>
          <w:tcPr>
            <w:tcW w:w="1555" w:type="dxa"/>
            <w:vMerge/>
            <w:vAlign w:val="center"/>
          </w:tcPr>
          <w:p w14:paraId="0D1DF4D5" w14:textId="77777777" w:rsidR="00E6014C" w:rsidRDefault="00E6014C" w:rsidP="007247E3"/>
        </w:tc>
        <w:tc>
          <w:tcPr>
            <w:tcW w:w="1417" w:type="dxa"/>
            <w:vAlign w:val="center"/>
          </w:tcPr>
          <w:p w14:paraId="514640FB" w14:textId="77777777" w:rsidR="00E6014C" w:rsidRPr="00652FFB" w:rsidRDefault="00DE3DC8" w:rsidP="007247E3">
            <w:r w:rsidRPr="00652FFB">
              <w:rPr>
                <w:rFonts w:hint="eastAsia"/>
              </w:rPr>
              <w:t>输出成果</w:t>
            </w:r>
          </w:p>
        </w:tc>
        <w:tc>
          <w:tcPr>
            <w:tcW w:w="5324" w:type="dxa"/>
          </w:tcPr>
          <w:p w14:paraId="0F37C078" w14:textId="77777777" w:rsidR="00D44843" w:rsidRPr="00652FFB" w:rsidRDefault="00D44843" w:rsidP="007247E3">
            <w:pPr>
              <w:pStyle w:val="ac"/>
              <w:numPr>
                <w:ilvl w:val="0"/>
                <w:numId w:val="2"/>
              </w:numPr>
            </w:pPr>
            <w:r w:rsidRPr="00652FFB">
              <w:rPr>
                <w:rFonts w:hint="eastAsia"/>
              </w:rPr>
              <w:t>研究报告：容器与虚拟机在</w:t>
            </w:r>
            <w:proofErr w:type="gramStart"/>
            <w:r w:rsidRPr="00652FFB">
              <w:rPr>
                <w:rFonts w:hint="eastAsia"/>
              </w:rPr>
              <w:t>可信启动</w:t>
            </w:r>
            <w:proofErr w:type="gramEnd"/>
            <w:r w:rsidRPr="00652FFB">
              <w:rPr>
                <w:rFonts w:hint="eastAsia"/>
              </w:rPr>
              <w:t>方面的差异</w:t>
            </w:r>
          </w:p>
          <w:p w14:paraId="68DF628E" w14:textId="77777777" w:rsidR="00D44843" w:rsidRPr="00652FFB" w:rsidRDefault="00D44843" w:rsidP="007247E3">
            <w:pPr>
              <w:pStyle w:val="ac"/>
              <w:numPr>
                <w:ilvl w:val="0"/>
                <w:numId w:val="2"/>
              </w:numPr>
            </w:pPr>
            <w:r w:rsidRPr="00652FFB">
              <w:rPr>
                <w:rFonts w:hint="eastAsia"/>
              </w:rPr>
              <w:t>方案：支持容器可信启动，参考</w:t>
            </w:r>
            <w:r w:rsidRPr="00652FFB">
              <w:rPr>
                <w:rFonts w:hint="eastAsia"/>
              </w:rPr>
              <w:t>T</w:t>
            </w:r>
            <w:r w:rsidRPr="00652FFB">
              <w:t xml:space="preserve">CG/IETF </w:t>
            </w:r>
            <w:r w:rsidRPr="00652FFB">
              <w:rPr>
                <w:rFonts w:hint="eastAsia"/>
              </w:rPr>
              <w:t>rats</w:t>
            </w:r>
            <w:r w:rsidRPr="00652FFB">
              <w:t xml:space="preserve"> </w:t>
            </w:r>
            <w:r w:rsidRPr="00652FFB">
              <w:rPr>
                <w:rFonts w:hint="eastAsia"/>
              </w:rPr>
              <w:t>协议，设计面向容器的</w:t>
            </w:r>
            <w:proofErr w:type="gramStart"/>
            <w:r w:rsidRPr="00652FFB">
              <w:rPr>
                <w:rFonts w:hint="eastAsia"/>
              </w:rPr>
              <w:t>可信启动</w:t>
            </w:r>
            <w:proofErr w:type="gramEnd"/>
            <w:r w:rsidRPr="00652FFB">
              <w:rPr>
                <w:rFonts w:hint="eastAsia"/>
              </w:rPr>
              <w:t>远程证明协议</w:t>
            </w:r>
          </w:p>
          <w:p w14:paraId="5CD4CCCF" w14:textId="77777777" w:rsidR="00D44843" w:rsidRPr="00652FFB" w:rsidRDefault="00D44843" w:rsidP="007247E3">
            <w:pPr>
              <w:pStyle w:val="ac"/>
              <w:numPr>
                <w:ilvl w:val="0"/>
                <w:numId w:val="2"/>
              </w:numPr>
            </w:pPr>
            <w:r w:rsidRPr="00652FFB">
              <w:rPr>
                <w:rFonts w:hint="eastAsia"/>
              </w:rPr>
              <w:t>原型：基于</w:t>
            </w:r>
            <w:r w:rsidRPr="00652FFB">
              <w:rPr>
                <w:rFonts w:hint="eastAsia"/>
              </w:rPr>
              <w:t>Linux</w:t>
            </w:r>
            <w:r w:rsidRPr="00652FFB">
              <w:rPr>
                <w:rFonts w:hint="eastAsia"/>
              </w:rPr>
              <w:t>平台，实现上述方案</w:t>
            </w:r>
          </w:p>
        </w:tc>
      </w:tr>
      <w:tr w:rsidR="00E6014C" w14:paraId="3D355066" w14:textId="77777777" w:rsidTr="0073275D">
        <w:trPr>
          <w:trHeight w:val="20"/>
        </w:trPr>
        <w:tc>
          <w:tcPr>
            <w:tcW w:w="1555" w:type="dxa"/>
            <w:vAlign w:val="center"/>
          </w:tcPr>
          <w:p w14:paraId="2E5E2517" w14:textId="77777777" w:rsidR="00E6014C" w:rsidRDefault="00DE3DC8" w:rsidP="007247E3">
            <w:r>
              <w:rPr>
                <w:rFonts w:hint="eastAsia"/>
              </w:rPr>
              <w:t>评价指标</w:t>
            </w:r>
          </w:p>
        </w:tc>
        <w:tc>
          <w:tcPr>
            <w:tcW w:w="6741" w:type="dxa"/>
            <w:gridSpan w:val="2"/>
          </w:tcPr>
          <w:p w14:paraId="6CC1BBC5" w14:textId="77777777" w:rsidR="00E6014C" w:rsidRPr="00652FFB" w:rsidRDefault="00DE3DC8" w:rsidP="007247E3">
            <w:r w:rsidRPr="00652FFB">
              <w:rPr>
                <w:rFonts w:hint="eastAsia"/>
              </w:rPr>
              <w:t>（请详细阐述项目评价的核心指标或验收标准）</w:t>
            </w:r>
          </w:p>
          <w:p w14:paraId="5F4D5B4B" w14:textId="478A8E43" w:rsidR="00D44843" w:rsidRPr="00652FFB" w:rsidRDefault="00D44843" w:rsidP="007247E3">
            <w:pPr>
              <w:pStyle w:val="ac"/>
              <w:numPr>
                <w:ilvl w:val="0"/>
                <w:numId w:val="3"/>
              </w:numPr>
            </w:pPr>
            <w:r w:rsidRPr="00652FFB">
              <w:rPr>
                <w:rFonts w:hint="eastAsia"/>
              </w:rPr>
              <w:t>研究报告全面对比虚拟机和容器在</w:t>
            </w:r>
            <w:proofErr w:type="gramStart"/>
            <w:r w:rsidRPr="00652FFB">
              <w:rPr>
                <w:rFonts w:hint="eastAsia"/>
              </w:rPr>
              <w:t>可信启动</w:t>
            </w:r>
            <w:proofErr w:type="gramEnd"/>
            <w:r w:rsidRPr="00652FFB">
              <w:rPr>
                <w:rFonts w:hint="eastAsia"/>
              </w:rPr>
              <w:t>方面的差异</w:t>
            </w:r>
            <w:r w:rsidR="00DD255F" w:rsidRPr="00652FFB">
              <w:rPr>
                <w:rFonts w:hint="eastAsia"/>
              </w:rPr>
              <w:t>，语言清晰，逻辑良好</w:t>
            </w:r>
          </w:p>
          <w:p w14:paraId="35B42749" w14:textId="77777777" w:rsidR="00D44843" w:rsidRPr="00652FFB" w:rsidRDefault="00D44843" w:rsidP="007247E3">
            <w:pPr>
              <w:pStyle w:val="ac"/>
              <w:numPr>
                <w:ilvl w:val="0"/>
                <w:numId w:val="3"/>
              </w:numPr>
            </w:pPr>
            <w:r w:rsidRPr="00652FFB">
              <w:rPr>
                <w:rFonts w:hint="eastAsia"/>
              </w:rPr>
              <w:t>方案能够为容器的</w:t>
            </w:r>
            <w:proofErr w:type="gramStart"/>
            <w:r w:rsidRPr="00652FFB">
              <w:rPr>
                <w:rFonts w:hint="eastAsia"/>
              </w:rPr>
              <w:t>可信启动</w:t>
            </w:r>
            <w:proofErr w:type="gramEnd"/>
            <w:r w:rsidRPr="00652FFB">
              <w:rPr>
                <w:rFonts w:hint="eastAsia"/>
              </w:rPr>
              <w:t>提供远程证明，支持迁移，协议与</w:t>
            </w:r>
            <w:r w:rsidRPr="00652FFB">
              <w:rPr>
                <w:rFonts w:hint="eastAsia"/>
              </w:rPr>
              <w:t>I</w:t>
            </w:r>
            <w:r w:rsidRPr="00652FFB">
              <w:t>ETF RATS</w:t>
            </w:r>
            <w:r w:rsidRPr="00652FFB">
              <w:rPr>
                <w:rFonts w:hint="eastAsia"/>
              </w:rPr>
              <w:t>协议兼容</w:t>
            </w:r>
          </w:p>
          <w:p w14:paraId="5B53E998" w14:textId="77777777" w:rsidR="00D44843" w:rsidRPr="00652FFB" w:rsidRDefault="00D44843" w:rsidP="007247E3">
            <w:pPr>
              <w:pStyle w:val="ac"/>
              <w:numPr>
                <w:ilvl w:val="0"/>
                <w:numId w:val="3"/>
              </w:numPr>
            </w:pPr>
            <w:r w:rsidRPr="00652FFB">
              <w:rPr>
                <w:rFonts w:hint="eastAsia"/>
              </w:rPr>
              <w:t>原型完整，包括虚拟机平台，容器</w:t>
            </w:r>
            <w:r w:rsidRPr="00652FFB">
              <w:rPr>
                <w:rFonts w:hint="eastAsia"/>
              </w:rPr>
              <w:t>+</w:t>
            </w:r>
            <w:r w:rsidRPr="00652FFB">
              <w:rPr>
                <w:rFonts w:hint="eastAsia"/>
              </w:rPr>
              <w:t>证明方（</w:t>
            </w:r>
            <w:r w:rsidRPr="00652FFB">
              <w:rPr>
                <w:rFonts w:hint="eastAsia"/>
              </w:rPr>
              <w:t>attester</w:t>
            </w:r>
            <w:r w:rsidRPr="00652FFB">
              <w:rPr>
                <w:rFonts w:hint="eastAsia"/>
              </w:rPr>
              <w:t>），</w:t>
            </w:r>
            <w:proofErr w:type="gramStart"/>
            <w:r w:rsidRPr="00652FFB">
              <w:rPr>
                <w:rFonts w:hint="eastAsia"/>
              </w:rPr>
              <w:t>可信启动</w:t>
            </w:r>
            <w:proofErr w:type="gramEnd"/>
            <w:r w:rsidRPr="00652FFB">
              <w:rPr>
                <w:rFonts w:hint="eastAsia"/>
              </w:rPr>
              <w:t>协议，验证方（</w:t>
            </w:r>
            <w:r w:rsidRPr="00652FFB">
              <w:rPr>
                <w:rFonts w:hint="eastAsia"/>
              </w:rPr>
              <w:t>verifier</w:t>
            </w:r>
            <w:r w:rsidRPr="00652FFB">
              <w:rPr>
                <w:rFonts w:hint="eastAsia"/>
              </w:rPr>
              <w:t>），信任方（</w:t>
            </w:r>
            <w:r w:rsidRPr="00652FFB">
              <w:rPr>
                <w:rFonts w:hint="eastAsia"/>
              </w:rPr>
              <w:t>relying</w:t>
            </w:r>
            <w:r w:rsidRPr="00652FFB">
              <w:t xml:space="preserve"> </w:t>
            </w:r>
            <w:r w:rsidRPr="00652FFB">
              <w:rPr>
                <w:rFonts w:hint="eastAsia"/>
              </w:rPr>
              <w:t>party</w:t>
            </w:r>
            <w:r w:rsidRPr="00652FFB">
              <w:rPr>
                <w:rFonts w:hint="eastAsia"/>
              </w:rPr>
              <w:t>）</w:t>
            </w:r>
          </w:p>
        </w:tc>
      </w:tr>
      <w:tr w:rsidR="00E6014C" w14:paraId="21EDA507" w14:textId="77777777" w:rsidTr="0073275D">
        <w:trPr>
          <w:trHeight w:val="20"/>
        </w:trPr>
        <w:tc>
          <w:tcPr>
            <w:tcW w:w="1555" w:type="dxa"/>
            <w:vAlign w:val="center"/>
          </w:tcPr>
          <w:p w14:paraId="415A2D46" w14:textId="77777777" w:rsidR="00E6014C" w:rsidRDefault="00DE3DC8" w:rsidP="007247E3">
            <w:r>
              <w:rPr>
                <w:rFonts w:hint="eastAsia"/>
              </w:rPr>
              <w:t>提交材料</w:t>
            </w:r>
          </w:p>
        </w:tc>
        <w:tc>
          <w:tcPr>
            <w:tcW w:w="6741" w:type="dxa"/>
            <w:gridSpan w:val="2"/>
          </w:tcPr>
          <w:p w14:paraId="3B87B690" w14:textId="77777777" w:rsidR="00E6014C" w:rsidRPr="00652FFB" w:rsidRDefault="00DE3DC8" w:rsidP="007247E3">
            <w:pPr>
              <w:rPr>
                <w:shd w:val="clear" w:color="auto" w:fill="FFFFFF"/>
              </w:rPr>
            </w:pPr>
            <w:r w:rsidRPr="00652FFB">
              <w:rPr>
                <w:rFonts w:hint="eastAsia"/>
                <w:shd w:val="clear" w:color="auto" w:fill="FFFFFF"/>
              </w:rPr>
              <w:t>（请详细阐述团队最终提交的对策方案中</w:t>
            </w:r>
            <w:proofErr w:type="gramStart"/>
            <w:r w:rsidRPr="00652FFB">
              <w:rPr>
                <w:rFonts w:hint="eastAsia"/>
                <w:shd w:val="clear" w:color="auto" w:fill="FFFFFF"/>
              </w:rPr>
              <w:t>需展示</w:t>
            </w:r>
            <w:proofErr w:type="gramEnd"/>
            <w:r w:rsidRPr="00652FFB">
              <w:rPr>
                <w:rFonts w:hint="eastAsia"/>
                <w:shd w:val="clear" w:color="auto" w:fill="FFFFFF"/>
              </w:rPr>
              <w:t>的核心内容，如技术手段、创新点、基于场景的实物功能展示等）</w:t>
            </w:r>
          </w:p>
          <w:p w14:paraId="60738DE0" w14:textId="77777777" w:rsidR="00E6014C" w:rsidRPr="00652FFB" w:rsidRDefault="00D44843" w:rsidP="007247E3">
            <w:pPr>
              <w:pStyle w:val="ac"/>
              <w:numPr>
                <w:ilvl w:val="0"/>
                <w:numId w:val="4"/>
              </w:numPr>
            </w:pPr>
            <w:r w:rsidRPr="00652FFB">
              <w:rPr>
                <w:rFonts w:hint="eastAsia"/>
              </w:rPr>
              <w:t>研究报告</w:t>
            </w:r>
          </w:p>
          <w:p w14:paraId="4C16A2DD" w14:textId="77777777" w:rsidR="00D44843" w:rsidRPr="00652FFB" w:rsidRDefault="00D44843" w:rsidP="007247E3">
            <w:pPr>
              <w:pStyle w:val="ac"/>
              <w:numPr>
                <w:ilvl w:val="0"/>
                <w:numId w:val="4"/>
              </w:numPr>
            </w:pPr>
            <w:r w:rsidRPr="00652FFB">
              <w:rPr>
                <w:rFonts w:hint="eastAsia"/>
              </w:rPr>
              <w:t>设计报告</w:t>
            </w:r>
          </w:p>
          <w:p w14:paraId="1B72E5FC" w14:textId="79DC949C" w:rsidR="00D44843" w:rsidRPr="00652FFB" w:rsidRDefault="00D44843" w:rsidP="007247E3">
            <w:pPr>
              <w:pStyle w:val="ac"/>
              <w:numPr>
                <w:ilvl w:val="0"/>
                <w:numId w:val="4"/>
              </w:numPr>
              <w:rPr>
                <w:color w:val="727272"/>
                <w:szCs w:val="21"/>
                <w:shd w:val="clear" w:color="auto" w:fill="FFFFFF"/>
              </w:rPr>
            </w:pPr>
            <w:r w:rsidRPr="00652FFB">
              <w:rPr>
                <w:rFonts w:hint="eastAsia"/>
              </w:rPr>
              <w:t>演示</w:t>
            </w:r>
            <w:r w:rsidR="00803F96" w:rsidRPr="00652FFB">
              <w:rPr>
                <w:rFonts w:hint="eastAsia"/>
              </w:rPr>
              <w:t>原型系统</w:t>
            </w:r>
            <w:r w:rsidRPr="00652FFB">
              <w:rPr>
                <w:rFonts w:hint="eastAsia"/>
              </w:rPr>
              <w:t>：硬件平台（</w:t>
            </w:r>
            <w:r w:rsidRPr="00652FFB">
              <w:rPr>
                <w:rFonts w:hint="eastAsia"/>
              </w:rPr>
              <w:t>Linux</w:t>
            </w:r>
            <w:r w:rsidRPr="00652FFB">
              <w:rPr>
                <w:rFonts w:hint="eastAsia"/>
              </w:rPr>
              <w:t>），容器，信任方（虚拟机），验证方（虚拟机）</w:t>
            </w:r>
          </w:p>
        </w:tc>
      </w:tr>
      <w:tr w:rsidR="00E6014C" w14:paraId="37DE7661" w14:textId="77777777" w:rsidTr="0073275D">
        <w:trPr>
          <w:trHeight w:val="20"/>
        </w:trPr>
        <w:tc>
          <w:tcPr>
            <w:tcW w:w="1555" w:type="dxa"/>
            <w:vAlign w:val="center"/>
          </w:tcPr>
          <w:p w14:paraId="34E0C507" w14:textId="77777777" w:rsidR="00E6014C" w:rsidRDefault="00DE3DC8" w:rsidP="007247E3">
            <w:r>
              <w:rPr>
                <w:rFonts w:hint="eastAsia"/>
              </w:rPr>
              <w:t>答题所需软硬件资源</w:t>
            </w:r>
          </w:p>
        </w:tc>
        <w:tc>
          <w:tcPr>
            <w:tcW w:w="6741" w:type="dxa"/>
            <w:gridSpan w:val="2"/>
          </w:tcPr>
          <w:p w14:paraId="2DF35BF6" w14:textId="77777777" w:rsidR="00E6014C" w:rsidRPr="00652FFB" w:rsidRDefault="00DE3DC8" w:rsidP="007247E3">
            <w:pPr>
              <w:rPr>
                <w:shd w:val="clear" w:color="auto" w:fill="FFFFFF"/>
              </w:rPr>
            </w:pPr>
            <w:r w:rsidRPr="00652FFB">
              <w:rPr>
                <w:rFonts w:hint="eastAsia"/>
                <w:shd w:val="clear" w:color="auto" w:fill="FFFFFF"/>
              </w:rPr>
              <w:t>（请写明团队完成命题必要的软硬件资源）</w:t>
            </w:r>
          </w:p>
          <w:p w14:paraId="6C1BAB9B" w14:textId="77777777" w:rsidR="00E6014C" w:rsidRPr="00652FFB" w:rsidRDefault="00D44843" w:rsidP="007247E3">
            <w:pPr>
              <w:pStyle w:val="ac"/>
            </w:pPr>
            <w:r w:rsidRPr="00652FFB">
              <w:rPr>
                <w:rFonts w:hint="eastAsia"/>
              </w:rPr>
              <w:t>硬件：</w:t>
            </w:r>
            <w:r w:rsidRPr="00652FFB">
              <w:rPr>
                <w:rFonts w:hint="eastAsia"/>
              </w:rPr>
              <w:t xml:space="preserve"> </w:t>
            </w:r>
            <w:r w:rsidRPr="00652FFB">
              <w:t>PC</w:t>
            </w:r>
            <w:r w:rsidRPr="00652FFB">
              <w:rPr>
                <w:rFonts w:hint="eastAsia"/>
              </w:rPr>
              <w:t>机</w:t>
            </w:r>
          </w:p>
          <w:p w14:paraId="7C933ED5" w14:textId="77777777" w:rsidR="00D44843" w:rsidRPr="00652FFB" w:rsidRDefault="00D44843" w:rsidP="007247E3">
            <w:pPr>
              <w:pStyle w:val="ac"/>
              <w:rPr>
                <w:color w:val="727272"/>
                <w:szCs w:val="21"/>
                <w:shd w:val="clear" w:color="auto" w:fill="FFFFFF"/>
              </w:rPr>
            </w:pPr>
            <w:r w:rsidRPr="00652FFB">
              <w:rPr>
                <w:rFonts w:hint="eastAsia"/>
              </w:rPr>
              <w:t>软件：</w:t>
            </w:r>
            <w:r w:rsidRPr="00652FFB">
              <w:rPr>
                <w:rFonts w:hint="eastAsia"/>
              </w:rPr>
              <w:t>Linux</w:t>
            </w:r>
            <w:r w:rsidRPr="00652FFB">
              <w:rPr>
                <w:rFonts w:hint="eastAsia"/>
              </w:rPr>
              <w:t>系统</w:t>
            </w:r>
          </w:p>
        </w:tc>
      </w:tr>
      <w:tr w:rsidR="00E6014C" w14:paraId="76B8ED1B" w14:textId="77777777" w:rsidTr="0073275D">
        <w:trPr>
          <w:trHeight w:val="20"/>
        </w:trPr>
        <w:tc>
          <w:tcPr>
            <w:tcW w:w="1555" w:type="dxa"/>
            <w:vAlign w:val="center"/>
          </w:tcPr>
          <w:p w14:paraId="6C702A99" w14:textId="77777777" w:rsidR="00E6014C" w:rsidRDefault="00DE3DC8" w:rsidP="007247E3">
            <w:r>
              <w:rPr>
                <w:rFonts w:hint="eastAsia"/>
              </w:rPr>
              <w:t>配套支持</w:t>
            </w:r>
          </w:p>
        </w:tc>
        <w:tc>
          <w:tcPr>
            <w:tcW w:w="6741" w:type="dxa"/>
            <w:gridSpan w:val="2"/>
          </w:tcPr>
          <w:p w14:paraId="261F14BD" w14:textId="77777777" w:rsidR="00E6014C" w:rsidRPr="00652FFB" w:rsidRDefault="00DE3DC8" w:rsidP="007247E3">
            <w:pPr>
              <w:rPr>
                <w:shd w:val="clear" w:color="auto" w:fill="FFFFFF"/>
              </w:rPr>
            </w:pPr>
            <w:r w:rsidRPr="00652FFB">
              <w:rPr>
                <w:rFonts w:hint="eastAsia"/>
                <w:shd w:val="clear" w:color="auto" w:fill="FFFFFF"/>
              </w:rPr>
              <w:t>（企业为参赛团队提供的技术支持、软硬件资源配套，包括线上命题宣讲、赛题辅导、线下活动等）</w:t>
            </w:r>
          </w:p>
          <w:p w14:paraId="116B5288" w14:textId="77777777" w:rsidR="00D44843" w:rsidRPr="00652FFB" w:rsidRDefault="00D44843" w:rsidP="007247E3">
            <w:pPr>
              <w:rPr>
                <w:shd w:val="clear" w:color="auto" w:fill="FFFFFF"/>
              </w:rPr>
            </w:pPr>
          </w:p>
          <w:p w14:paraId="5D49E3E7" w14:textId="77777777" w:rsidR="00D44843" w:rsidRPr="00652FFB" w:rsidRDefault="00D44843" w:rsidP="007247E3">
            <w:pPr>
              <w:rPr>
                <w:color w:val="727272"/>
                <w:szCs w:val="21"/>
                <w:shd w:val="clear" w:color="auto" w:fill="FFFFFF"/>
              </w:rPr>
            </w:pPr>
            <w:r w:rsidRPr="00652FFB">
              <w:rPr>
                <w:rFonts w:hint="eastAsia"/>
              </w:rPr>
              <w:t>可提供技术咨询</w:t>
            </w:r>
          </w:p>
        </w:tc>
      </w:tr>
      <w:tr w:rsidR="00E6014C" w14:paraId="66F9B6AA" w14:textId="77777777" w:rsidTr="0073275D">
        <w:trPr>
          <w:trHeight w:val="20"/>
        </w:trPr>
        <w:tc>
          <w:tcPr>
            <w:tcW w:w="1555" w:type="dxa"/>
            <w:vAlign w:val="center"/>
          </w:tcPr>
          <w:p w14:paraId="2F6D1CFF" w14:textId="77777777" w:rsidR="00E6014C" w:rsidRDefault="00DE3DC8" w:rsidP="007247E3">
            <w:r>
              <w:rPr>
                <w:rFonts w:hint="eastAsia"/>
              </w:rPr>
              <w:t>政策支持</w:t>
            </w:r>
          </w:p>
        </w:tc>
        <w:tc>
          <w:tcPr>
            <w:tcW w:w="6741" w:type="dxa"/>
            <w:gridSpan w:val="2"/>
          </w:tcPr>
          <w:p w14:paraId="07FE239A" w14:textId="77777777" w:rsidR="00E6014C" w:rsidRPr="00652FFB" w:rsidRDefault="00DE3DC8" w:rsidP="007247E3">
            <w:pPr>
              <w:rPr>
                <w:shd w:val="clear" w:color="auto" w:fill="FFFFFF"/>
              </w:rPr>
            </w:pPr>
            <w:r w:rsidRPr="00652FFB">
              <w:rPr>
                <w:rFonts w:hint="eastAsia"/>
                <w:shd w:val="clear" w:color="auto" w:fill="FFFFFF"/>
              </w:rPr>
              <w:t>（企业在优秀项目成果知识产权转化、优秀学生技术</w:t>
            </w:r>
            <w:r w:rsidRPr="00652FFB">
              <w:rPr>
                <w:rFonts w:hint="eastAsia"/>
                <w:shd w:val="clear" w:color="auto" w:fill="FFFFFF"/>
              </w:rPr>
              <w:lastRenderedPageBreak/>
              <w:t>认证、实习和就业等方面能够提供的支持）</w:t>
            </w:r>
          </w:p>
          <w:p w14:paraId="3BA890EE" w14:textId="77777777" w:rsidR="00D44843" w:rsidRPr="00652FFB" w:rsidRDefault="00D44843" w:rsidP="007247E3">
            <w:pPr>
              <w:rPr>
                <w:shd w:val="clear" w:color="auto" w:fill="FFFFFF"/>
              </w:rPr>
            </w:pPr>
          </w:p>
          <w:p w14:paraId="4CCCC6F6" w14:textId="77777777" w:rsidR="00D44843" w:rsidRPr="00652FFB" w:rsidRDefault="00D44843" w:rsidP="007247E3">
            <w:pPr>
              <w:rPr>
                <w:color w:val="727272"/>
                <w:szCs w:val="21"/>
                <w:shd w:val="clear" w:color="auto" w:fill="FFFFFF"/>
              </w:rPr>
            </w:pPr>
            <w:r w:rsidRPr="00652FFB">
              <w:rPr>
                <w:rFonts w:hint="eastAsia"/>
              </w:rPr>
              <w:t>如果设计良好或者优秀，可以为优秀学生提供推荐信</w:t>
            </w:r>
          </w:p>
        </w:tc>
      </w:tr>
      <w:tr w:rsidR="00E6014C" w14:paraId="652086F1" w14:textId="77777777" w:rsidTr="0073275D">
        <w:trPr>
          <w:trHeight w:val="20"/>
        </w:trPr>
        <w:tc>
          <w:tcPr>
            <w:tcW w:w="1555" w:type="dxa"/>
            <w:vAlign w:val="center"/>
          </w:tcPr>
          <w:p w14:paraId="14E175CC" w14:textId="77777777" w:rsidR="00E6014C" w:rsidRDefault="00DE3DC8" w:rsidP="007247E3">
            <w:r>
              <w:rPr>
                <w:rFonts w:hint="eastAsia"/>
              </w:rPr>
              <w:lastRenderedPageBreak/>
              <w:t>其他</w:t>
            </w:r>
          </w:p>
        </w:tc>
        <w:tc>
          <w:tcPr>
            <w:tcW w:w="6741" w:type="dxa"/>
            <w:gridSpan w:val="2"/>
          </w:tcPr>
          <w:p w14:paraId="2870C503" w14:textId="77777777" w:rsidR="00E6014C" w:rsidRPr="00652FFB" w:rsidRDefault="00DE3DC8" w:rsidP="007247E3">
            <w:pPr>
              <w:rPr>
                <w:shd w:val="clear" w:color="auto" w:fill="FFFFFF"/>
              </w:rPr>
            </w:pPr>
            <w:r w:rsidRPr="00652FFB">
              <w:rPr>
                <w:rFonts w:hint="eastAsia"/>
                <w:shd w:val="clear" w:color="auto" w:fill="FFFFFF"/>
              </w:rPr>
              <w:t>（比赛相关的未尽事宜）</w:t>
            </w:r>
          </w:p>
          <w:p w14:paraId="0942DCE2" w14:textId="77777777" w:rsidR="00E6014C" w:rsidRPr="00652FFB" w:rsidRDefault="00E6014C" w:rsidP="007247E3"/>
        </w:tc>
      </w:tr>
    </w:tbl>
    <w:p w14:paraId="2BE5B846" w14:textId="77777777" w:rsidR="00E6014C" w:rsidRDefault="00E6014C" w:rsidP="007247E3"/>
    <w:sectPr w:rsidR="00E6014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F1158" w14:textId="77777777" w:rsidR="00C93218" w:rsidRDefault="00C93218" w:rsidP="007247E3">
      <w:r>
        <w:separator/>
      </w:r>
    </w:p>
  </w:endnote>
  <w:endnote w:type="continuationSeparator" w:id="0">
    <w:p w14:paraId="59C06231" w14:textId="77777777" w:rsidR="00C93218" w:rsidRDefault="00C93218" w:rsidP="00724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sdtPr>
    <w:sdtContent>
      <w:p w14:paraId="0D9079AB" w14:textId="77777777" w:rsidR="00E6014C" w:rsidRDefault="00DE3DC8" w:rsidP="007247E3">
        <w:pPr>
          <w:pStyle w:val="a5"/>
        </w:pPr>
        <w:r>
          <w:fldChar w:fldCharType="begin"/>
        </w:r>
        <w:r>
          <w:instrText>PAGE   \* MERGEFORMAT</w:instrText>
        </w:r>
        <w:r>
          <w:fldChar w:fldCharType="separate"/>
        </w:r>
        <w:r>
          <w:rPr>
            <w:lang w:val="zh-CN"/>
          </w:rPr>
          <w:t>2</w:t>
        </w:r>
        <w:r>
          <w:fldChar w:fldCharType="end"/>
        </w:r>
      </w:p>
    </w:sdtContent>
  </w:sdt>
  <w:p w14:paraId="7A9844EC" w14:textId="77777777" w:rsidR="00E6014C" w:rsidRDefault="00E6014C" w:rsidP="007247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DFE95" w14:textId="77777777" w:rsidR="00C93218" w:rsidRDefault="00C93218" w:rsidP="007247E3">
      <w:r>
        <w:separator/>
      </w:r>
    </w:p>
  </w:footnote>
  <w:footnote w:type="continuationSeparator" w:id="0">
    <w:p w14:paraId="42BFF8BC" w14:textId="77777777" w:rsidR="00C93218" w:rsidRDefault="00C93218" w:rsidP="00724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0406F"/>
    <w:multiLevelType w:val="hybridMultilevel"/>
    <w:tmpl w:val="1F6CBEBA"/>
    <w:lvl w:ilvl="0" w:tplc="29922342">
      <w:start w:val="1"/>
      <w:numFmt w:val="decimal"/>
      <w:lvlText w:val="%1）"/>
      <w:lvlJc w:val="left"/>
      <w:pPr>
        <w:ind w:left="720" w:hanging="360"/>
      </w:pPr>
      <w:rPr>
        <w:rFonts w:ascii="Calibri" w:eastAsia="仿宋" w:hAnsi="Calibri" w:cs="Calibri"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34362C8C"/>
    <w:multiLevelType w:val="hybridMultilevel"/>
    <w:tmpl w:val="F01612FA"/>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38A70AEC"/>
    <w:multiLevelType w:val="hybridMultilevel"/>
    <w:tmpl w:val="A72E4100"/>
    <w:lvl w:ilvl="0" w:tplc="932A29AA">
      <w:start w:val="1"/>
      <w:numFmt w:val="decimal"/>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63BD12E1"/>
    <w:multiLevelType w:val="hybridMultilevel"/>
    <w:tmpl w:val="B746A90C"/>
    <w:lvl w:ilvl="0" w:tplc="1458BE50">
      <w:start w:val="1"/>
      <w:numFmt w:val="decimal"/>
      <w:lvlText w:val="%1）"/>
      <w:lvlJc w:val="left"/>
      <w:pPr>
        <w:ind w:left="720" w:hanging="360"/>
      </w:pPr>
      <w:rPr>
        <w:rFonts w:ascii="Times New Roman" w:eastAsia="仿宋" w:hAnsi="Times New Roman" w:cs="Times New Roman"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66E51DCE"/>
    <w:multiLevelType w:val="hybridMultilevel"/>
    <w:tmpl w:val="708AC46E"/>
    <w:lvl w:ilvl="0" w:tplc="DA1ADB66">
      <w:start w:val="1"/>
      <w:numFmt w:val="decimal"/>
      <w:lvlText w:val="%1）"/>
      <w:lvlJc w:val="left"/>
      <w:pPr>
        <w:ind w:left="720" w:hanging="360"/>
      </w:pPr>
      <w:rPr>
        <w:rFonts w:ascii="Times New Roman" w:eastAsia="仿宋" w:hAnsi="Times New Roman" w:cs="Times New Roman"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1314063438">
    <w:abstractNumId w:val="2"/>
  </w:num>
  <w:num w:numId="2" w16cid:durableId="918756587">
    <w:abstractNumId w:val="0"/>
  </w:num>
  <w:num w:numId="3" w16cid:durableId="386103691">
    <w:abstractNumId w:val="1"/>
  </w:num>
  <w:num w:numId="4" w16cid:durableId="454983608">
    <w:abstractNumId w:val="3"/>
  </w:num>
  <w:num w:numId="5" w16cid:durableId="6306746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NhYjg0ZmNjOGRiYWI1ZGYzNzU1OTdiOTY2NGEzN2IifQ=="/>
  </w:docVars>
  <w:rsids>
    <w:rsidRoot w:val="00A04928"/>
    <w:rsid w:val="0001292A"/>
    <w:rsid w:val="000A334F"/>
    <w:rsid w:val="000F2E97"/>
    <w:rsid w:val="001B7F7C"/>
    <w:rsid w:val="001F1371"/>
    <w:rsid w:val="00211C95"/>
    <w:rsid w:val="00244515"/>
    <w:rsid w:val="002746F0"/>
    <w:rsid w:val="00280EC5"/>
    <w:rsid w:val="002A6463"/>
    <w:rsid w:val="003920F9"/>
    <w:rsid w:val="003A05B1"/>
    <w:rsid w:val="00416A20"/>
    <w:rsid w:val="00422008"/>
    <w:rsid w:val="00436ADA"/>
    <w:rsid w:val="00495346"/>
    <w:rsid w:val="00497D61"/>
    <w:rsid w:val="004A54F1"/>
    <w:rsid w:val="004C1C1A"/>
    <w:rsid w:val="004C5A2F"/>
    <w:rsid w:val="004D7AF1"/>
    <w:rsid w:val="005716C2"/>
    <w:rsid w:val="00572759"/>
    <w:rsid w:val="005F1C63"/>
    <w:rsid w:val="00612F7F"/>
    <w:rsid w:val="00616764"/>
    <w:rsid w:val="00652FFB"/>
    <w:rsid w:val="00665ABB"/>
    <w:rsid w:val="00681C94"/>
    <w:rsid w:val="0068560C"/>
    <w:rsid w:val="00686E0A"/>
    <w:rsid w:val="006B084E"/>
    <w:rsid w:val="006D4823"/>
    <w:rsid w:val="007247E3"/>
    <w:rsid w:val="0073275D"/>
    <w:rsid w:val="007911AD"/>
    <w:rsid w:val="007C1283"/>
    <w:rsid w:val="00803F96"/>
    <w:rsid w:val="00841FE5"/>
    <w:rsid w:val="008C1EE8"/>
    <w:rsid w:val="008F3599"/>
    <w:rsid w:val="00972DED"/>
    <w:rsid w:val="009F4B7B"/>
    <w:rsid w:val="009F7F57"/>
    <w:rsid w:val="00A04928"/>
    <w:rsid w:val="00A95269"/>
    <w:rsid w:val="00AF144D"/>
    <w:rsid w:val="00B40251"/>
    <w:rsid w:val="00B62976"/>
    <w:rsid w:val="00B91AD5"/>
    <w:rsid w:val="00C02DBA"/>
    <w:rsid w:val="00C122BD"/>
    <w:rsid w:val="00C4483F"/>
    <w:rsid w:val="00C762BA"/>
    <w:rsid w:val="00C93218"/>
    <w:rsid w:val="00CD4161"/>
    <w:rsid w:val="00D10264"/>
    <w:rsid w:val="00D31A20"/>
    <w:rsid w:val="00D44843"/>
    <w:rsid w:val="00D4526A"/>
    <w:rsid w:val="00DD255F"/>
    <w:rsid w:val="00DE3DC8"/>
    <w:rsid w:val="00E22446"/>
    <w:rsid w:val="00E6014C"/>
    <w:rsid w:val="00E66FED"/>
    <w:rsid w:val="00E77B83"/>
    <w:rsid w:val="00E843E1"/>
    <w:rsid w:val="00E87C4B"/>
    <w:rsid w:val="00EB65A3"/>
    <w:rsid w:val="00ED0D6F"/>
    <w:rsid w:val="00EF5B14"/>
    <w:rsid w:val="00EF65A3"/>
    <w:rsid w:val="00F0229E"/>
    <w:rsid w:val="00F1635A"/>
    <w:rsid w:val="00F4578F"/>
    <w:rsid w:val="00FD1BD2"/>
    <w:rsid w:val="00FF4C09"/>
    <w:rsid w:val="00FF76FB"/>
    <w:rsid w:val="40774FF4"/>
    <w:rsid w:val="48AE2EC0"/>
    <w:rsid w:val="7F8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F48B6"/>
  <w15:docId w15:val="{02DABD39-1F14-4075-84E7-9A6931279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SG"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7247E3"/>
    <w:pPr>
      <w:widowControl w:val="0"/>
      <w:snapToGrid w:val="0"/>
    </w:pPr>
    <w:rPr>
      <w:rFonts w:ascii="Times New Roman" w:eastAsia="仿宋" w:hAnsi="Times New Roman" w:cs="Times New Roman"/>
      <w:kern w:val="2"/>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autoRedefine/>
    <w:uiPriority w:val="99"/>
    <w:semiHidden/>
    <w:unhideWhenUsed/>
    <w:qFormat/>
    <w:pPr>
      <w:ind w:leftChars="2500" w:left="100"/>
    </w:pPr>
  </w:style>
  <w:style w:type="paragraph" w:styleId="a5">
    <w:name w:val="footer"/>
    <w:basedOn w:val="a"/>
    <w:link w:val="a6"/>
    <w:autoRedefine/>
    <w:uiPriority w:val="99"/>
    <w:unhideWhenUsed/>
    <w:qFormat/>
    <w:pPr>
      <w:tabs>
        <w:tab w:val="center" w:pos="4153"/>
        <w:tab w:val="right" w:pos="8306"/>
      </w:tabs>
    </w:pPr>
    <w:rPr>
      <w:sz w:val="18"/>
      <w:szCs w:val="18"/>
    </w:rPr>
  </w:style>
  <w:style w:type="paragraph" w:styleId="a7">
    <w:name w:val="header"/>
    <w:basedOn w:val="a"/>
    <w:link w:val="a8"/>
    <w:autoRedefine/>
    <w:uiPriority w:val="99"/>
    <w:unhideWhenUsed/>
    <w:qFormat/>
    <w:pPr>
      <w:tabs>
        <w:tab w:val="center" w:pos="4153"/>
        <w:tab w:val="right" w:pos="8306"/>
      </w:tabs>
      <w:jc w:val="center"/>
    </w:pPr>
    <w:rPr>
      <w:sz w:val="18"/>
      <w:szCs w:val="18"/>
    </w:rPr>
  </w:style>
  <w:style w:type="paragraph" w:styleId="a9">
    <w:name w:val="Normal (Web)"/>
    <w:basedOn w:val="a"/>
    <w:autoRedefine/>
    <w:qFormat/>
    <w:pPr>
      <w:spacing w:before="100" w:beforeAutospacing="1" w:after="100" w:afterAutospacing="1"/>
    </w:pPr>
    <w:rPr>
      <w:kern w:val="0"/>
    </w:rPr>
  </w:style>
  <w:style w:type="table" w:styleId="aa">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autoRedefine/>
    <w:uiPriority w:val="99"/>
    <w:unhideWhenUsed/>
    <w:qFormat/>
    <w:rPr>
      <w:color w:val="0563C1" w:themeColor="hyperlink"/>
      <w:u w:val="single"/>
    </w:rPr>
  </w:style>
  <w:style w:type="character" w:customStyle="1" w:styleId="a8">
    <w:name w:val="页眉 字符"/>
    <w:basedOn w:val="a0"/>
    <w:link w:val="a7"/>
    <w:autoRedefine/>
    <w:uiPriority w:val="99"/>
    <w:qFormat/>
    <w:rPr>
      <w:rFonts w:ascii="Times New Roman" w:eastAsia="仿宋" w:hAnsi="Times New Roman" w:cs="Times New Roman"/>
      <w:sz w:val="18"/>
      <w:szCs w:val="18"/>
    </w:rPr>
  </w:style>
  <w:style w:type="character" w:customStyle="1" w:styleId="a6">
    <w:name w:val="页脚 字符"/>
    <w:basedOn w:val="a0"/>
    <w:link w:val="a5"/>
    <w:autoRedefine/>
    <w:uiPriority w:val="99"/>
    <w:qFormat/>
    <w:rPr>
      <w:rFonts w:ascii="Times New Roman" w:eastAsia="仿宋" w:hAnsi="Times New Roman" w:cs="Times New Roman"/>
      <w:sz w:val="18"/>
      <w:szCs w:val="18"/>
    </w:rPr>
  </w:style>
  <w:style w:type="character" w:customStyle="1" w:styleId="a4">
    <w:name w:val="日期 字符"/>
    <w:basedOn w:val="a0"/>
    <w:link w:val="a3"/>
    <w:autoRedefine/>
    <w:uiPriority w:val="99"/>
    <w:semiHidden/>
    <w:qFormat/>
    <w:rPr>
      <w:rFonts w:ascii="Times New Roman" w:eastAsia="仿宋" w:hAnsi="Times New Roman" w:cs="Times New Roman"/>
      <w:sz w:val="24"/>
      <w:szCs w:val="24"/>
    </w:rPr>
  </w:style>
  <w:style w:type="character" w:customStyle="1" w:styleId="UnresolvedMention1">
    <w:name w:val="Unresolved Mention1"/>
    <w:basedOn w:val="a0"/>
    <w:autoRedefine/>
    <w:uiPriority w:val="99"/>
    <w:semiHidden/>
    <w:unhideWhenUsed/>
    <w:qFormat/>
    <w:rPr>
      <w:color w:val="605E5C"/>
      <w:shd w:val="clear" w:color="auto" w:fill="E1DFDD"/>
    </w:rPr>
  </w:style>
  <w:style w:type="paragraph" w:styleId="ac">
    <w:name w:val="List Paragraph"/>
    <w:basedOn w:val="a"/>
    <w:uiPriority w:val="99"/>
    <w:rsid w:val="00D44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Huawei Technologies Co., Ltd.</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bupt</dc:creator>
  <cp:lastModifiedBy>bupt</cp:lastModifiedBy>
  <cp:revision>21</cp:revision>
  <dcterms:created xsi:type="dcterms:W3CDTF">2024-04-29T10:11:00Z</dcterms:created>
  <dcterms:modified xsi:type="dcterms:W3CDTF">2024-06-03T08:48:00Z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D38825107BCA4C5B965DD1F1BE4D373F_12</vt:lpwstr>
  </property>
  <property fmtid="{D5CDD505-2E9C-101B-9397-08002B2CF9AE}" pid="4" name="_2015_ms_pID_725343">
    <vt:lpwstr>(3)ssms2gJGSx1hnO56+Z90wLICNy3LxfBH1HtCuEGA7FU7ZBrf61HigZPZLCeGDMczdcpIybQ1
7NhZ5b1yymBAuIzS6NeEwrkDBEuVGOzOTW+J6gCHn4SbK3mhwB5Y+q9ioo7znBc/6H+Q4SHE
APhWdwXgAT7s7T+fA49rfBNT3OQWTQBnnRYW4wT7ynQwLUsHCnis05SZTf0OwYheYnSbLN0H
BcfseOnQXdkKeu+zIh</vt:lpwstr>
  </property>
  <property fmtid="{D5CDD505-2E9C-101B-9397-08002B2CF9AE}" pid="5" name="_2015_ms_pID_7253431">
    <vt:lpwstr>bEfsA0hNwtn8V4C5PMiUG/7gPBq4SkX9XGrHV1Txz4za3/uK+/VI4b
nv2dV08Hmno1raFTw/TYejP0nPbIZzBW0wzI8emIQq/sPhgbzNaqRpvzeMt7i3iZ5sZVHV4D
MXJob78BcZkoNgJrC3BB5Zc1fABq9YhlMH7au/StLXPg3E3eC9pfjryidMDikwtKuvtHi/zB
TD9CiCG6rE9LKZBEEsp9ZbGEJ5iWkTkyL7h3</vt:lpwstr>
  </property>
  <property fmtid="{D5CDD505-2E9C-101B-9397-08002B2CF9AE}" pid="6" name="_2015_ms_pID_7253432">
    <vt:lpwstr>Sg==</vt:lpwstr>
  </property>
</Properties>
</file>